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A764E" w14:textId="41FB322C" w:rsidR="006E237B" w:rsidRPr="00ED74F7" w:rsidRDefault="006E237B" w:rsidP="00DC06B4">
      <w:pPr>
        <w:pStyle w:val="Nagwek1"/>
        <w:spacing w:before="600"/>
        <w:jc w:val="center"/>
        <w:rPr>
          <w:rFonts w:ascii="Open Sans" w:hAnsi="Open Sans" w:cs="Open Sans"/>
          <w:b/>
          <w:bCs/>
          <w:color w:val="auto"/>
          <w:sz w:val="22"/>
          <w:szCs w:val="22"/>
        </w:rPr>
      </w:pPr>
      <w:r w:rsidRPr="00ED74F7">
        <w:rPr>
          <w:rFonts w:ascii="Open Sans" w:hAnsi="Open Sans" w:cs="Open Sans"/>
          <w:b/>
          <w:bCs/>
          <w:color w:val="auto"/>
          <w:sz w:val="22"/>
          <w:szCs w:val="22"/>
        </w:rPr>
        <w:t xml:space="preserve">Załącznik nr </w:t>
      </w:r>
      <w:r w:rsidR="000F022A" w:rsidRPr="00ED74F7">
        <w:rPr>
          <w:rFonts w:ascii="Open Sans" w:hAnsi="Open Sans" w:cs="Open Sans"/>
          <w:b/>
          <w:bCs/>
          <w:color w:val="auto"/>
          <w:sz w:val="22"/>
          <w:szCs w:val="22"/>
        </w:rPr>
        <w:t xml:space="preserve">9 </w:t>
      </w:r>
      <w:r w:rsidRPr="00ED74F7">
        <w:rPr>
          <w:rFonts w:ascii="Open Sans" w:hAnsi="Open Sans" w:cs="Open Sans"/>
          <w:b/>
          <w:bCs/>
          <w:color w:val="auto"/>
          <w:sz w:val="22"/>
          <w:szCs w:val="22"/>
        </w:rPr>
        <w:t xml:space="preserve">do Regulaminu </w:t>
      </w:r>
      <w:r w:rsidR="001C5DCC" w:rsidRPr="00ED74F7">
        <w:rPr>
          <w:rFonts w:ascii="Open Sans" w:hAnsi="Open Sans" w:cs="Open Sans"/>
          <w:b/>
          <w:bCs/>
          <w:color w:val="auto"/>
          <w:sz w:val="22"/>
          <w:szCs w:val="22"/>
        </w:rPr>
        <w:t>wyboru projektów</w:t>
      </w:r>
      <w:r w:rsidRPr="00ED74F7">
        <w:rPr>
          <w:rFonts w:ascii="Open Sans" w:hAnsi="Open Sans" w:cs="Open Sans"/>
          <w:b/>
          <w:bCs/>
          <w:color w:val="auto"/>
          <w:sz w:val="22"/>
          <w:szCs w:val="22"/>
        </w:rPr>
        <w:t xml:space="preserve"> nr </w:t>
      </w:r>
      <w:r w:rsidR="00F2365C" w:rsidRPr="00ED74F7">
        <w:rPr>
          <w:rFonts w:ascii="Open Sans" w:hAnsi="Open Sans" w:cs="Open Sans"/>
          <w:b/>
          <w:bCs/>
          <w:color w:val="auto"/>
          <w:sz w:val="22"/>
          <w:szCs w:val="22"/>
        </w:rPr>
        <w:t>FENX.</w:t>
      </w:r>
      <w:r w:rsidR="00D54BA1" w:rsidRPr="00ED74F7">
        <w:rPr>
          <w:rFonts w:ascii="Open Sans" w:hAnsi="Open Sans" w:cs="Open Sans"/>
          <w:b/>
          <w:bCs/>
          <w:color w:val="auto"/>
          <w:sz w:val="22"/>
          <w:szCs w:val="22"/>
        </w:rPr>
        <w:t>1</w:t>
      </w:r>
      <w:r w:rsidR="00617144" w:rsidRPr="00ED74F7">
        <w:rPr>
          <w:rFonts w:ascii="Open Sans" w:hAnsi="Open Sans" w:cs="Open Sans"/>
          <w:b/>
          <w:bCs/>
          <w:color w:val="auto"/>
          <w:sz w:val="22"/>
          <w:szCs w:val="22"/>
        </w:rPr>
        <w:t>0</w:t>
      </w:r>
      <w:r w:rsidR="00F2365C" w:rsidRPr="00ED74F7">
        <w:rPr>
          <w:rFonts w:ascii="Open Sans" w:hAnsi="Open Sans" w:cs="Open Sans"/>
          <w:b/>
          <w:bCs/>
          <w:color w:val="auto"/>
          <w:sz w:val="22"/>
          <w:szCs w:val="22"/>
        </w:rPr>
        <w:t>.</w:t>
      </w:r>
      <w:r w:rsidR="00D54BA1" w:rsidRPr="00ED74F7">
        <w:rPr>
          <w:rFonts w:ascii="Open Sans" w:hAnsi="Open Sans" w:cs="Open Sans"/>
          <w:b/>
          <w:bCs/>
          <w:color w:val="auto"/>
          <w:sz w:val="22"/>
          <w:szCs w:val="22"/>
        </w:rPr>
        <w:t>02</w:t>
      </w:r>
      <w:r w:rsidR="00F2365C" w:rsidRPr="00ED74F7">
        <w:rPr>
          <w:rFonts w:ascii="Open Sans" w:hAnsi="Open Sans" w:cs="Open Sans"/>
          <w:b/>
          <w:bCs/>
          <w:color w:val="auto"/>
          <w:sz w:val="22"/>
          <w:szCs w:val="22"/>
        </w:rPr>
        <w:t>-IW.01</w:t>
      </w:r>
      <w:r w:rsidR="00847A72" w:rsidRPr="00ED74F7">
        <w:rPr>
          <w:rFonts w:ascii="Open Sans" w:hAnsi="Open Sans" w:cs="Open Sans"/>
          <w:b/>
          <w:bCs/>
          <w:color w:val="auto"/>
          <w:sz w:val="22"/>
          <w:szCs w:val="22"/>
        </w:rPr>
        <w:t>-001/</w:t>
      </w:r>
      <w:r w:rsidR="007D5359" w:rsidRPr="00ED74F7">
        <w:rPr>
          <w:rFonts w:ascii="Open Sans" w:hAnsi="Open Sans" w:cs="Open Sans"/>
          <w:b/>
          <w:bCs/>
          <w:color w:val="auto"/>
          <w:sz w:val="22"/>
          <w:szCs w:val="22"/>
        </w:rPr>
        <w:t>25</w:t>
      </w:r>
    </w:p>
    <w:p w14:paraId="40496A93" w14:textId="5A9B688B" w:rsidR="006E237B" w:rsidRPr="00851B65" w:rsidRDefault="006D34F5" w:rsidP="00DC06B4">
      <w:pPr>
        <w:spacing w:before="1200" w:line="288" w:lineRule="auto"/>
        <w:jc w:val="center"/>
        <w:rPr>
          <w:rFonts w:ascii="Open Sans" w:hAnsi="Open Sans" w:cs="Open Sans"/>
          <w:sz w:val="24"/>
          <w:szCs w:val="24"/>
        </w:rPr>
      </w:pPr>
      <w:r w:rsidRPr="00851B65">
        <w:rPr>
          <w:rFonts w:ascii="Open Sans" w:hAnsi="Open Sans" w:cs="Open Sans"/>
          <w:b/>
          <w:sz w:val="24"/>
          <w:szCs w:val="24"/>
        </w:rPr>
        <w:t xml:space="preserve">RAMOWY </w:t>
      </w:r>
      <w:r w:rsidR="006E237B" w:rsidRPr="00851B65">
        <w:rPr>
          <w:rFonts w:ascii="Open Sans" w:hAnsi="Open Sans" w:cs="Open Sans"/>
          <w:b/>
          <w:sz w:val="24"/>
          <w:szCs w:val="24"/>
        </w:rPr>
        <w:t>KATALOG  KOSZTÓW/WYDATKÓW</w:t>
      </w:r>
    </w:p>
    <w:p w14:paraId="5B8A53E1" w14:textId="4928EA2D" w:rsidR="006E237B" w:rsidRPr="00851B65" w:rsidRDefault="006E237B" w:rsidP="00DC06B4">
      <w:pPr>
        <w:spacing w:after="600" w:line="288" w:lineRule="auto"/>
        <w:jc w:val="center"/>
        <w:rPr>
          <w:rFonts w:ascii="Open Sans" w:hAnsi="Open Sans" w:cs="Open Sans"/>
          <w:sz w:val="24"/>
          <w:szCs w:val="24"/>
        </w:rPr>
      </w:pPr>
      <w:r w:rsidRPr="00851B65">
        <w:rPr>
          <w:rFonts w:ascii="Open Sans" w:hAnsi="Open Sans" w:cs="Open Sans"/>
          <w:b/>
          <w:sz w:val="24"/>
          <w:szCs w:val="24"/>
        </w:rPr>
        <w:t>KWALIFIKOWANYCH</w:t>
      </w:r>
    </w:p>
    <w:p w14:paraId="4D67623E" w14:textId="164EF8A9" w:rsidR="006E237B" w:rsidRPr="00851B65" w:rsidRDefault="006E237B" w:rsidP="00ED74F7">
      <w:pPr>
        <w:spacing w:line="288" w:lineRule="auto"/>
        <w:jc w:val="center"/>
        <w:rPr>
          <w:rFonts w:ascii="Open Sans" w:hAnsi="Open Sans" w:cs="Open Sans"/>
          <w:b/>
          <w:sz w:val="24"/>
          <w:szCs w:val="24"/>
        </w:rPr>
      </w:pPr>
      <w:r w:rsidRPr="00851B65">
        <w:rPr>
          <w:rFonts w:ascii="Open Sans" w:hAnsi="Open Sans" w:cs="Open Sans"/>
          <w:b/>
          <w:sz w:val="24"/>
          <w:szCs w:val="24"/>
        </w:rPr>
        <w:t>Programu Fundusze Europejskie na Infrastrukturę, Klimat,</w:t>
      </w:r>
    </w:p>
    <w:p w14:paraId="1230CFAD" w14:textId="77777777" w:rsidR="006E237B" w:rsidRPr="00851B65" w:rsidRDefault="006E237B" w:rsidP="00DC06B4">
      <w:pPr>
        <w:spacing w:after="1200" w:line="288" w:lineRule="auto"/>
        <w:jc w:val="center"/>
        <w:rPr>
          <w:rFonts w:ascii="Open Sans" w:hAnsi="Open Sans" w:cs="Open Sans"/>
          <w:b/>
          <w:sz w:val="24"/>
          <w:szCs w:val="24"/>
        </w:rPr>
      </w:pPr>
      <w:r w:rsidRPr="00851B65">
        <w:rPr>
          <w:rFonts w:ascii="Open Sans" w:hAnsi="Open Sans" w:cs="Open Sans"/>
          <w:b/>
          <w:sz w:val="24"/>
          <w:szCs w:val="24"/>
        </w:rPr>
        <w:t>Środowisko 2021-2027</w:t>
      </w:r>
    </w:p>
    <w:p w14:paraId="2A9C3124" w14:textId="0570F043" w:rsidR="0064598A" w:rsidRPr="00851B65" w:rsidRDefault="0064598A" w:rsidP="00DC06B4">
      <w:pPr>
        <w:autoSpaceDE w:val="0"/>
        <w:autoSpaceDN w:val="0"/>
        <w:adjustRightInd w:val="0"/>
        <w:spacing w:after="240" w:line="288" w:lineRule="auto"/>
        <w:rPr>
          <w:rFonts w:ascii="Open Sans" w:hAnsi="Open Sans" w:cs="Open Sans"/>
          <w:b/>
          <w:color w:val="2F5496"/>
          <w:sz w:val="20"/>
          <w:szCs w:val="20"/>
          <w:lang w:eastAsia="pl-PL"/>
        </w:rPr>
      </w:pPr>
      <w:r w:rsidRPr="00851B65">
        <w:rPr>
          <w:rFonts w:ascii="Open Sans" w:hAnsi="Open Sans" w:cs="Open Sans"/>
          <w:b/>
          <w:sz w:val="20"/>
          <w:szCs w:val="20"/>
          <w:lang w:eastAsia="pl-PL"/>
        </w:rPr>
        <w:t xml:space="preserve">Priorytet: </w:t>
      </w:r>
      <w:r w:rsidRPr="00851B65">
        <w:rPr>
          <w:rFonts w:ascii="Open Sans" w:hAnsi="Open Sans" w:cs="Open Sans"/>
          <w:b/>
          <w:color w:val="2F5496"/>
          <w:sz w:val="20"/>
          <w:szCs w:val="20"/>
          <w:lang w:eastAsia="pl-PL"/>
        </w:rPr>
        <w:t>FENX.</w:t>
      </w:r>
      <w:r w:rsidR="008034B3" w:rsidRPr="00851B65">
        <w:rPr>
          <w:rFonts w:ascii="Open Sans" w:hAnsi="Open Sans" w:cs="Open Sans"/>
          <w:b/>
          <w:color w:val="2F5496"/>
          <w:sz w:val="20"/>
          <w:szCs w:val="20"/>
          <w:lang w:eastAsia="pl-PL"/>
        </w:rPr>
        <w:t xml:space="preserve">10 </w:t>
      </w:r>
      <w:r w:rsidRPr="00851B65">
        <w:rPr>
          <w:rFonts w:ascii="Open Sans" w:hAnsi="Open Sans" w:cs="Open Sans"/>
          <w:b/>
          <w:color w:val="2F5496"/>
          <w:sz w:val="20"/>
          <w:szCs w:val="20"/>
          <w:lang w:eastAsia="pl-PL"/>
        </w:rPr>
        <w:t>Wsparcie obszarów popowodziowych z Europejskiego Funduszu Rozwoju Regionalnego</w:t>
      </w:r>
    </w:p>
    <w:p w14:paraId="451600C1" w14:textId="58BDFC20" w:rsidR="0064598A" w:rsidRPr="00851B65" w:rsidRDefault="0064598A" w:rsidP="00DC06B4">
      <w:pPr>
        <w:autoSpaceDE w:val="0"/>
        <w:autoSpaceDN w:val="0"/>
        <w:adjustRightInd w:val="0"/>
        <w:spacing w:after="240" w:line="288" w:lineRule="auto"/>
        <w:rPr>
          <w:rFonts w:ascii="Open Sans" w:hAnsi="Open Sans" w:cs="Open Sans"/>
          <w:b/>
          <w:color w:val="2F5496"/>
          <w:sz w:val="20"/>
          <w:szCs w:val="20"/>
          <w:lang w:eastAsia="pl-PL"/>
        </w:rPr>
      </w:pPr>
      <w:r w:rsidRPr="00851B65">
        <w:rPr>
          <w:rFonts w:ascii="Open Sans" w:hAnsi="Open Sans" w:cs="Open Sans"/>
          <w:b/>
          <w:sz w:val="20"/>
          <w:szCs w:val="20"/>
          <w:lang w:eastAsia="pl-PL"/>
        </w:rPr>
        <w:t>Działanie:</w:t>
      </w:r>
      <w:r w:rsidRPr="00851B65">
        <w:rPr>
          <w:rFonts w:ascii="Open Sans" w:hAnsi="Open Sans" w:cs="Open Sans"/>
          <w:b/>
          <w:color w:val="2F5496"/>
          <w:sz w:val="20"/>
          <w:szCs w:val="20"/>
          <w:lang w:eastAsia="pl-PL"/>
        </w:rPr>
        <w:t xml:space="preserve"> FENX.1</w:t>
      </w:r>
      <w:r w:rsidR="008034B3" w:rsidRPr="00851B65">
        <w:rPr>
          <w:rFonts w:ascii="Open Sans" w:hAnsi="Open Sans" w:cs="Open Sans"/>
          <w:b/>
          <w:color w:val="2F5496"/>
          <w:sz w:val="20"/>
          <w:szCs w:val="20"/>
          <w:lang w:eastAsia="pl-PL"/>
        </w:rPr>
        <w:t>0.</w:t>
      </w:r>
      <w:r w:rsidRPr="00851B65">
        <w:rPr>
          <w:rFonts w:ascii="Open Sans" w:hAnsi="Open Sans" w:cs="Open Sans"/>
          <w:b/>
          <w:color w:val="2F5496"/>
          <w:sz w:val="20"/>
          <w:szCs w:val="20"/>
          <w:lang w:eastAsia="pl-PL"/>
        </w:rPr>
        <w:t>02 Odbudowa uszkodzonej lub zniszczonej infrastruktury w zakresie budynków użyteczności publicznej</w:t>
      </w:r>
    </w:p>
    <w:p w14:paraId="7827BB4F" w14:textId="01F200C8" w:rsidR="0064598A" w:rsidRPr="00851B65" w:rsidRDefault="0064598A" w:rsidP="00DC06B4">
      <w:pPr>
        <w:autoSpaceDE w:val="0"/>
        <w:autoSpaceDN w:val="0"/>
        <w:adjustRightInd w:val="0"/>
        <w:spacing w:after="3960" w:line="288" w:lineRule="auto"/>
        <w:rPr>
          <w:rFonts w:ascii="Open Sans" w:hAnsi="Open Sans" w:cs="Open Sans"/>
          <w:b/>
          <w:color w:val="2F5496"/>
          <w:sz w:val="20"/>
          <w:szCs w:val="20"/>
          <w:lang w:eastAsia="pl-PL"/>
        </w:rPr>
      </w:pPr>
      <w:r w:rsidRPr="00851B65">
        <w:rPr>
          <w:rFonts w:ascii="Open Sans" w:hAnsi="Open Sans" w:cs="Open Sans"/>
          <w:b/>
          <w:sz w:val="20"/>
          <w:szCs w:val="20"/>
          <w:lang w:eastAsia="pl-PL"/>
        </w:rPr>
        <w:t>Typy projektów:</w:t>
      </w:r>
      <w:r w:rsidRPr="00851B65">
        <w:rPr>
          <w:rFonts w:ascii="Open Sans" w:hAnsi="Open Sans" w:cs="Open Sans"/>
          <w:b/>
          <w:color w:val="2F5496"/>
          <w:sz w:val="20"/>
          <w:szCs w:val="20"/>
          <w:lang w:eastAsia="pl-PL"/>
        </w:rPr>
        <w:t xml:space="preserve"> Poprawa efektywności energetycznej w budynkach użyteczności publicznej wraz z instalacją OZE – wsparcie dotacyjne dla uszkodzonej lub zniszczonej infrastruktury z obszarów poszkodowanych przez powódź</w:t>
      </w:r>
    </w:p>
    <w:p w14:paraId="2005739A" w14:textId="2EF40299" w:rsidR="0064598A" w:rsidRPr="00851B65" w:rsidRDefault="00751BC7" w:rsidP="00ED74F7">
      <w:pPr>
        <w:spacing w:line="288" w:lineRule="auto"/>
        <w:jc w:val="center"/>
        <w:rPr>
          <w:rFonts w:ascii="Open Sans" w:hAnsi="Open Sans" w:cs="Open Sans"/>
          <w:b/>
          <w:bCs/>
        </w:rPr>
      </w:pPr>
      <w:r w:rsidRPr="00851B65">
        <w:rPr>
          <w:rFonts w:ascii="Open Sans" w:hAnsi="Open Sans" w:cs="Open Sans"/>
          <w:b/>
          <w:sz w:val="24"/>
          <w:szCs w:val="24"/>
        </w:rPr>
        <w:t xml:space="preserve">Warszawa, </w:t>
      </w:r>
      <w:r w:rsidR="00386148" w:rsidRPr="00851B65">
        <w:rPr>
          <w:rFonts w:ascii="Open Sans" w:hAnsi="Open Sans" w:cs="Open Sans"/>
          <w:b/>
          <w:sz w:val="24"/>
          <w:szCs w:val="24"/>
        </w:rPr>
        <w:t xml:space="preserve">czerwiec </w:t>
      </w:r>
      <w:r w:rsidR="00DC0990" w:rsidRPr="00851B65">
        <w:rPr>
          <w:rFonts w:ascii="Open Sans" w:hAnsi="Open Sans" w:cs="Open Sans"/>
          <w:b/>
          <w:sz w:val="24"/>
          <w:szCs w:val="24"/>
        </w:rPr>
        <w:t>202</w:t>
      </w:r>
      <w:r w:rsidR="004072B1" w:rsidRPr="00851B65">
        <w:rPr>
          <w:rFonts w:ascii="Open Sans" w:hAnsi="Open Sans" w:cs="Open Sans"/>
          <w:b/>
          <w:sz w:val="24"/>
          <w:szCs w:val="24"/>
        </w:rPr>
        <w:t>5</w:t>
      </w:r>
      <w:r w:rsidR="00DC0990" w:rsidRPr="00851B65">
        <w:rPr>
          <w:rFonts w:ascii="Open Sans" w:hAnsi="Open Sans" w:cs="Open Sans"/>
          <w:b/>
          <w:sz w:val="24"/>
          <w:szCs w:val="24"/>
        </w:rPr>
        <w:t xml:space="preserve"> </w:t>
      </w:r>
      <w:r w:rsidR="00D54BA1" w:rsidRPr="00851B65">
        <w:rPr>
          <w:rFonts w:ascii="Open Sans" w:hAnsi="Open Sans" w:cs="Open Sans"/>
          <w:b/>
          <w:bCs/>
        </w:rPr>
        <w:t>r.</w:t>
      </w:r>
    </w:p>
    <w:p w14:paraId="7CA50E50" w14:textId="564C614C" w:rsidR="006E237B" w:rsidRPr="00851B65" w:rsidRDefault="006E237B" w:rsidP="00ED74F7">
      <w:pPr>
        <w:spacing w:line="288" w:lineRule="auto"/>
        <w:rPr>
          <w:rFonts w:ascii="Open Sans" w:hAnsi="Open Sans" w:cs="Open Sans"/>
          <w:b/>
          <w:bCs/>
        </w:rPr>
      </w:pPr>
      <w:r w:rsidRPr="00851B65">
        <w:rPr>
          <w:rFonts w:ascii="Open Sans" w:hAnsi="Open Sans" w:cs="Open Sans"/>
          <w:b/>
          <w:bCs/>
        </w:rPr>
        <w:lastRenderedPageBreak/>
        <w:t>NARODOWY FUNDUSZ OCHRONY ŚRODOWISKA I GOSPODARKI WODNEJ</w:t>
      </w:r>
    </w:p>
    <w:p w14:paraId="54A99DCF" w14:textId="1C382145" w:rsidR="006E237B" w:rsidRPr="00591749" w:rsidRDefault="006E237B" w:rsidP="00591749">
      <w:pPr>
        <w:pStyle w:val="Akapitzlist"/>
        <w:numPr>
          <w:ilvl w:val="0"/>
          <w:numId w:val="7"/>
        </w:numPr>
        <w:pBdr>
          <w:top w:val="single" w:sz="4" w:space="1" w:color="auto"/>
          <w:left w:val="single" w:sz="4" w:space="17" w:color="auto"/>
          <w:bottom w:val="single" w:sz="4" w:space="1" w:color="auto"/>
          <w:right w:val="single" w:sz="4" w:space="4" w:color="auto"/>
        </w:pBdr>
        <w:spacing w:line="288" w:lineRule="auto"/>
        <w:rPr>
          <w:rFonts w:ascii="Open Sans" w:hAnsi="Open Sans" w:cs="Open Sans"/>
          <w:b/>
          <w:bCs/>
        </w:rPr>
      </w:pPr>
      <w:r w:rsidRPr="00591749">
        <w:rPr>
          <w:rFonts w:ascii="Open Sans" w:hAnsi="Open Sans" w:cs="Open Sans"/>
          <w:b/>
          <w:bCs/>
        </w:rPr>
        <w:t>Wstęp</w:t>
      </w:r>
    </w:p>
    <w:p w14:paraId="0A17FB4C" w14:textId="457DFC7C" w:rsidR="006E237B" w:rsidRPr="00851B65" w:rsidRDefault="006E237B" w:rsidP="00ED74F7">
      <w:pPr>
        <w:spacing w:line="288" w:lineRule="auto"/>
        <w:rPr>
          <w:rFonts w:ascii="Open Sans" w:hAnsi="Open Sans" w:cs="Open Sans"/>
        </w:rPr>
      </w:pPr>
      <w:r w:rsidRPr="00851B65">
        <w:rPr>
          <w:rFonts w:ascii="Open Sans" w:hAnsi="Open Sans" w:cs="Open Sans"/>
        </w:rPr>
        <w:t xml:space="preserve">Katalog obejmuje zakres robót stanowiących integralną część projektu, służących </w:t>
      </w:r>
      <w:r w:rsidR="004752BD" w:rsidRPr="00851B65">
        <w:rPr>
          <w:rFonts w:ascii="Open Sans" w:hAnsi="Open Sans" w:cs="Open Sans"/>
        </w:rPr>
        <w:br/>
      </w:r>
      <w:r w:rsidRPr="00851B65">
        <w:rPr>
          <w:rFonts w:ascii="Open Sans" w:hAnsi="Open Sans" w:cs="Open Sans"/>
        </w:rPr>
        <w:t xml:space="preserve">do osiągniecia celu projektu w postaci oszczędności energii, redukcji emisji CO2, osiągnięciu lepszego standardu energetycznego budynku i podwyższenia standardu </w:t>
      </w:r>
      <w:proofErr w:type="spellStart"/>
      <w:r w:rsidRPr="00851B65">
        <w:rPr>
          <w:rFonts w:ascii="Open Sans" w:hAnsi="Open Sans" w:cs="Open Sans"/>
        </w:rPr>
        <w:t>techniczno</w:t>
      </w:r>
      <w:proofErr w:type="spellEnd"/>
      <w:r w:rsidRPr="00851B65">
        <w:rPr>
          <w:rFonts w:ascii="Open Sans" w:hAnsi="Open Sans" w:cs="Open Sans"/>
        </w:rPr>
        <w:t xml:space="preserve"> – użytkowego budynku, uwzględnionych w audycie energetycznym </w:t>
      </w:r>
      <w:proofErr w:type="spellStart"/>
      <w:r w:rsidRPr="00851B65">
        <w:rPr>
          <w:rFonts w:ascii="Open Sans" w:hAnsi="Open Sans" w:cs="Open Sans"/>
        </w:rPr>
        <w:t>ax</w:t>
      </w:r>
      <w:proofErr w:type="spellEnd"/>
      <w:r w:rsidRPr="00851B65">
        <w:rPr>
          <w:rFonts w:ascii="Open Sans" w:hAnsi="Open Sans" w:cs="Open Sans"/>
        </w:rPr>
        <w:t xml:space="preserve">-ante </w:t>
      </w:r>
      <w:r w:rsidR="004752BD" w:rsidRPr="00851B65">
        <w:rPr>
          <w:rFonts w:ascii="Open Sans" w:hAnsi="Open Sans" w:cs="Open Sans"/>
        </w:rPr>
        <w:br/>
      </w:r>
      <w:r w:rsidRPr="00851B65">
        <w:rPr>
          <w:rFonts w:ascii="Open Sans" w:hAnsi="Open Sans" w:cs="Open Sans"/>
        </w:rPr>
        <w:t>i wskazanych we wniosku o dofinansowanie w ramach Programu Fundusze Europejskie na Infrastrukturę, Klimat, Środowisko 2021-2027.</w:t>
      </w:r>
    </w:p>
    <w:p w14:paraId="55105811" w14:textId="0D4BFD49" w:rsidR="006E237B" w:rsidRPr="00851B65" w:rsidRDefault="006E237B" w:rsidP="00ED74F7">
      <w:pPr>
        <w:spacing w:line="288" w:lineRule="auto"/>
        <w:rPr>
          <w:rFonts w:ascii="Open Sans" w:hAnsi="Open Sans" w:cs="Open Sans"/>
        </w:rPr>
      </w:pPr>
      <w:r w:rsidRPr="00851B65">
        <w:rPr>
          <w:rFonts w:ascii="Open Sans" w:hAnsi="Open Sans" w:cs="Open Sans"/>
        </w:rPr>
        <w:t>Wszystkie prace mające wpływ na zapotrzebowanie budynku na energię końcową powinny zostać wykonane zgodnie z Audytem energetycznym ex-ante, dokumentacją projektową (o ile była wymagana w ogólnych przepisach prawa budowlanego) i wymaganiami NFOŚiGW.</w:t>
      </w:r>
    </w:p>
    <w:p w14:paraId="6F0F6CA0" w14:textId="3740A400" w:rsidR="006E237B" w:rsidRPr="00851B65" w:rsidRDefault="006E237B" w:rsidP="00ED74F7">
      <w:pPr>
        <w:spacing w:line="288" w:lineRule="auto"/>
        <w:rPr>
          <w:rFonts w:ascii="Open Sans" w:hAnsi="Open Sans" w:cs="Open Sans"/>
        </w:rPr>
      </w:pPr>
      <w:r w:rsidRPr="00851B65">
        <w:rPr>
          <w:rFonts w:ascii="Open Sans" w:hAnsi="Open Sans" w:cs="Open Sans"/>
        </w:rPr>
        <w:t>Zmodernizowane obiekty powinny spełniać standardy określone w rozporządzeniu Ministra Infrastruktury z dnia 12 kwietnia 2002</w:t>
      </w:r>
      <w:r w:rsidR="006210D4" w:rsidRPr="00851B65">
        <w:rPr>
          <w:rFonts w:ascii="Open Sans" w:hAnsi="Open Sans" w:cs="Open Sans"/>
        </w:rPr>
        <w:t xml:space="preserve"> </w:t>
      </w:r>
      <w:r w:rsidRPr="00851B65">
        <w:rPr>
          <w:rFonts w:ascii="Open Sans" w:hAnsi="Open Sans" w:cs="Open Sans"/>
        </w:rPr>
        <w:t xml:space="preserve">r. w sprawie warunków technicznych, jakim powinny odpowiadać budynki i ich usytuowanie (Obwieszczenie Ministra Rozwoju </w:t>
      </w:r>
      <w:r w:rsidR="004752BD" w:rsidRPr="00851B65">
        <w:rPr>
          <w:rFonts w:ascii="Open Sans" w:hAnsi="Open Sans" w:cs="Open Sans"/>
        </w:rPr>
        <w:br/>
      </w:r>
      <w:r w:rsidRPr="00851B65">
        <w:rPr>
          <w:rFonts w:ascii="Open Sans" w:hAnsi="Open Sans" w:cs="Open Sans"/>
        </w:rPr>
        <w:t>i Technologii z dnia 15 kwietnia 2022 r. w sprawie ogłoszenia jednolitego tekstu rozporządzenia Ministra Infrastruktury w sprawie warunków technicznych, jakim powinny odpowiadać budynki i ich usytuowanie - Dz.U. z dnia 9 czerwca 2022 r., poz.</w:t>
      </w:r>
      <w:r w:rsidR="004752BD" w:rsidRPr="00851B65">
        <w:rPr>
          <w:rFonts w:ascii="Open Sans" w:hAnsi="Open Sans" w:cs="Open Sans"/>
        </w:rPr>
        <w:t xml:space="preserve"> </w:t>
      </w:r>
      <w:r w:rsidRPr="00851B65">
        <w:rPr>
          <w:rFonts w:ascii="Open Sans" w:hAnsi="Open Sans" w:cs="Open Sans"/>
        </w:rPr>
        <w:t>1225) oraz w normach tam przywołanych.</w:t>
      </w:r>
    </w:p>
    <w:p w14:paraId="7599BE69" w14:textId="0C4B53FD" w:rsidR="00E8220D" w:rsidRPr="00851B65" w:rsidRDefault="009B62B6" w:rsidP="00ED74F7">
      <w:pPr>
        <w:spacing w:line="288" w:lineRule="auto"/>
        <w:rPr>
          <w:rFonts w:ascii="Open Sans" w:hAnsi="Open Sans" w:cs="Open Sans"/>
        </w:rPr>
      </w:pPr>
      <w:r w:rsidRPr="00851B65">
        <w:rPr>
          <w:rFonts w:ascii="Open Sans" w:hAnsi="Open Sans" w:cs="Open Sans"/>
        </w:rPr>
        <w:t xml:space="preserve">Zgodnie z </w:t>
      </w:r>
      <w:r w:rsidR="00F65AE8" w:rsidRPr="00851B65">
        <w:rPr>
          <w:rFonts w:ascii="Open Sans" w:hAnsi="Open Sans" w:cs="Open Sans"/>
        </w:rPr>
        <w:t xml:space="preserve">art. 1 ust 8 </w:t>
      </w:r>
      <w:r w:rsidRPr="00851B65">
        <w:rPr>
          <w:rFonts w:ascii="Open Sans" w:hAnsi="Open Sans" w:cs="Open Sans"/>
        </w:rPr>
        <w:t>rozporządzen</w:t>
      </w:r>
      <w:r w:rsidR="00F65AE8" w:rsidRPr="00851B65">
        <w:rPr>
          <w:rFonts w:ascii="Open Sans" w:hAnsi="Open Sans" w:cs="Open Sans"/>
        </w:rPr>
        <w:t>ia</w:t>
      </w:r>
      <w:r w:rsidRPr="00851B65">
        <w:rPr>
          <w:rFonts w:ascii="Open Sans" w:hAnsi="Open Sans" w:cs="Open Sans"/>
        </w:rPr>
        <w:t xml:space="preserve"> RESTORE</w:t>
      </w:r>
      <w:r w:rsidR="00F02034" w:rsidRPr="00851B65">
        <w:rPr>
          <w:rStyle w:val="Odwoanieprzypisudolnego"/>
          <w:rFonts w:ascii="Open Sans" w:hAnsi="Open Sans" w:cs="Open Sans"/>
        </w:rPr>
        <w:footnoteReference w:id="1"/>
      </w:r>
      <w:r w:rsidRPr="00851B65">
        <w:rPr>
          <w:rFonts w:ascii="Open Sans" w:hAnsi="Open Sans" w:cs="Open Sans"/>
        </w:rPr>
        <w:t xml:space="preserve"> </w:t>
      </w:r>
      <w:r w:rsidR="00F65AE8" w:rsidRPr="00851B65">
        <w:rPr>
          <w:rFonts w:ascii="Open Sans" w:hAnsi="Open Sans" w:cs="Open Sans"/>
        </w:rPr>
        <w:t xml:space="preserve"> wydatki kwalifikowane we wniosku o dofinansowanie </w:t>
      </w:r>
      <w:r w:rsidR="006A638D" w:rsidRPr="00851B65">
        <w:rPr>
          <w:rFonts w:ascii="Open Sans" w:hAnsi="Open Sans" w:cs="Open Sans"/>
        </w:rPr>
        <w:t>muszą zostać</w:t>
      </w:r>
      <w:r w:rsidR="00E8220D" w:rsidRPr="00851B65">
        <w:rPr>
          <w:rFonts w:ascii="Open Sans" w:hAnsi="Open Sans" w:cs="Open Sans"/>
        </w:rPr>
        <w:t xml:space="preserve"> pomniejsz</w:t>
      </w:r>
      <w:r w:rsidR="006A638D" w:rsidRPr="00851B65">
        <w:rPr>
          <w:rFonts w:ascii="Open Sans" w:hAnsi="Open Sans" w:cs="Open Sans"/>
        </w:rPr>
        <w:t>o</w:t>
      </w:r>
      <w:r w:rsidR="00E8220D" w:rsidRPr="00851B65">
        <w:rPr>
          <w:rFonts w:ascii="Open Sans" w:hAnsi="Open Sans" w:cs="Open Sans"/>
        </w:rPr>
        <w:t>ne o wysokość</w:t>
      </w:r>
      <w:r w:rsidR="00F65AE8" w:rsidRPr="00851B65">
        <w:rPr>
          <w:rFonts w:ascii="Open Sans" w:hAnsi="Open Sans" w:cs="Open Sans"/>
        </w:rPr>
        <w:t xml:space="preserve"> </w:t>
      </w:r>
      <w:r w:rsidR="00E8220D" w:rsidRPr="00851B65">
        <w:rPr>
          <w:rFonts w:ascii="Open Sans" w:hAnsi="Open Sans" w:cs="Open Sans"/>
        </w:rPr>
        <w:t>w</w:t>
      </w:r>
      <w:r w:rsidRPr="00851B65">
        <w:rPr>
          <w:rFonts w:ascii="Open Sans" w:hAnsi="Open Sans" w:cs="Open Sans"/>
        </w:rPr>
        <w:t>sparci</w:t>
      </w:r>
      <w:r w:rsidR="00E8220D" w:rsidRPr="00851B65">
        <w:rPr>
          <w:rFonts w:ascii="Open Sans" w:hAnsi="Open Sans" w:cs="Open Sans"/>
        </w:rPr>
        <w:t>a</w:t>
      </w:r>
      <w:r w:rsidRPr="00851B65">
        <w:rPr>
          <w:rFonts w:ascii="Open Sans" w:hAnsi="Open Sans" w:cs="Open Sans"/>
        </w:rPr>
        <w:t xml:space="preserve"> z innego instrumentu unijnego, instrumentu krajowego lub prywatnego systemu ubezpieczeń otrzyman</w:t>
      </w:r>
      <w:r w:rsidR="00E8220D" w:rsidRPr="00851B65">
        <w:rPr>
          <w:rFonts w:ascii="Open Sans" w:hAnsi="Open Sans" w:cs="Open Sans"/>
        </w:rPr>
        <w:t>ego</w:t>
      </w:r>
      <w:r w:rsidRPr="00851B65">
        <w:rPr>
          <w:rFonts w:ascii="Open Sans" w:hAnsi="Open Sans" w:cs="Open Sans"/>
        </w:rPr>
        <w:t xml:space="preserve"> w związku z uszkodzeniem/zniszczeniem w wyniku powodzi składników majątku objętych zakresem projektu</w:t>
      </w:r>
      <w:r w:rsidR="00E8220D" w:rsidRPr="00851B65">
        <w:rPr>
          <w:rFonts w:ascii="Open Sans" w:hAnsi="Open Sans" w:cs="Open Sans"/>
        </w:rPr>
        <w:t>.</w:t>
      </w:r>
    </w:p>
    <w:p w14:paraId="3DC717E8" w14:textId="30E1F974" w:rsidR="006E237B" w:rsidRPr="00851B65" w:rsidRDefault="006E237B" w:rsidP="00ED74F7">
      <w:pPr>
        <w:spacing w:line="288" w:lineRule="auto"/>
        <w:rPr>
          <w:rFonts w:ascii="Open Sans" w:hAnsi="Open Sans" w:cs="Open Sans"/>
        </w:rPr>
      </w:pPr>
      <w:r w:rsidRPr="00851B65">
        <w:rPr>
          <w:rFonts w:ascii="Open Sans" w:hAnsi="Open Sans" w:cs="Open Sans"/>
        </w:rPr>
        <w:t xml:space="preserve">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w:t>
      </w:r>
      <w:r w:rsidRPr="00851B65">
        <w:rPr>
          <w:rFonts w:ascii="Open Sans" w:hAnsi="Open Sans" w:cs="Open Sans"/>
        </w:rPr>
        <w:lastRenderedPageBreak/>
        <w:t>odliczyć podatek VAT, ale rezygnuje z tej możliwości, podatek VAT nie jest kosztem kwalifikowanym.</w:t>
      </w:r>
    </w:p>
    <w:p w14:paraId="023E23AC" w14:textId="45E05C9B" w:rsidR="00013816" w:rsidRPr="00851B65" w:rsidRDefault="00013816" w:rsidP="00ED74F7">
      <w:pPr>
        <w:spacing w:line="288" w:lineRule="auto"/>
        <w:rPr>
          <w:rFonts w:ascii="Open Sans" w:hAnsi="Open Sans" w:cs="Open Sans"/>
          <w:bCs/>
          <w:color w:val="000000" w:themeColor="text1"/>
        </w:rPr>
      </w:pPr>
      <w:r w:rsidRPr="00851B65">
        <w:rPr>
          <w:rFonts w:ascii="Open Sans" w:hAnsi="Open Sans" w:cs="Open Sans"/>
          <w:bCs/>
        </w:rPr>
        <w:t>Wyliczenia bilansowe, energetyczne i emisyjne w audycie ex-ante, powinny być zgodne z ogólnymi przepisami prawa budowlanego, powinny być przeprowadzone zgodnie z zapisami Rozporządzenia Ministra Infrastruktury i Rozwoju z dnia 27 lutego 2015 r. w sprawie metodologii wyznaczania charakterystyki energetycznej budynku lub części budynku oraz świadectw charakterystyki energetycznej (</w:t>
      </w:r>
      <w:r w:rsidRPr="00851B65">
        <w:rPr>
          <w:rFonts w:ascii="Open Sans" w:hAnsi="Open Sans" w:cs="Open Sans"/>
          <w:bCs/>
          <w:color w:val="000000" w:themeColor="text1"/>
        </w:rPr>
        <w:t>wraz z późniejszymi zmianami – aktualne na czas składania wniosku o dofinansowanie) lub (w przypadku realizacji inwestycji w formule ESCO/EPC) wynikać ze specjalistycznej wiedzy i doświadczenia firmy ESCO i/lub doradcy technicznego (</w:t>
      </w:r>
      <w:proofErr w:type="spellStart"/>
      <w:r w:rsidRPr="00851B65">
        <w:rPr>
          <w:rFonts w:ascii="Open Sans" w:hAnsi="Open Sans" w:cs="Open Sans"/>
          <w:bCs/>
          <w:color w:val="000000" w:themeColor="text1"/>
        </w:rPr>
        <w:t>facylitatora</w:t>
      </w:r>
      <w:proofErr w:type="spellEnd"/>
      <w:r w:rsidRPr="00851B65">
        <w:rPr>
          <w:rFonts w:ascii="Open Sans" w:hAnsi="Open Sans" w:cs="Open Sans"/>
          <w:bCs/>
          <w:color w:val="000000" w:themeColor="text1"/>
        </w:rPr>
        <w:t xml:space="preserve"> EPC) – dopasowane do potrzeb projektu z uwzględnieniem jego indywidualnych cech, sposobu użytkowania, w celu wyboru najbardziej efektywnych i optymalnych rozwiązań z uwzględnieniem pełnego charakteru inwestycji z obowiązkowym elementem zarządzania energią w standardzie po modernizacji.</w:t>
      </w:r>
    </w:p>
    <w:p w14:paraId="74528195" w14:textId="77777777" w:rsidR="00013816" w:rsidRPr="00851B65" w:rsidRDefault="00013816" w:rsidP="00ED74F7">
      <w:pPr>
        <w:spacing w:line="288" w:lineRule="auto"/>
        <w:rPr>
          <w:rFonts w:ascii="Open Sans" w:hAnsi="Open Sans" w:cs="Open Sans"/>
          <w:b/>
          <w:bCs/>
          <w:color w:val="000000" w:themeColor="text1"/>
        </w:rPr>
      </w:pPr>
      <w:r w:rsidRPr="00851B65">
        <w:rPr>
          <w:rFonts w:ascii="Open Sans" w:hAnsi="Open Sans" w:cs="Open Sans"/>
          <w:color w:val="000000" w:themeColor="text1"/>
        </w:rPr>
        <w:t xml:space="preserve">Co do zasady, w audycie ex-ante porównywana ma być charakterystyka energetyczna budynku przed i po modernizacji z uwzględnieniem wybranego przez audytora docelowego scenariusza usprawnień na podstawie audytu energetycznego wykonanego zgodnie z Rozporządzeniem Ministra Infrastruktury z dnia 17 marca 2009 r. (Dz.U. z 2009 r. nr 43, poz. 346) z </w:t>
      </w:r>
      <w:proofErr w:type="spellStart"/>
      <w:r w:rsidRPr="00851B65">
        <w:rPr>
          <w:rFonts w:ascii="Open Sans" w:hAnsi="Open Sans" w:cs="Open Sans"/>
          <w:color w:val="000000" w:themeColor="text1"/>
        </w:rPr>
        <w:t>późn</w:t>
      </w:r>
      <w:proofErr w:type="spellEnd"/>
      <w:r w:rsidRPr="00851B65">
        <w:rPr>
          <w:rFonts w:ascii="Open Sans" w:hAnsi="Open Sans" w:cs="Open Sans"/>
          <w:color w:val="000000" w:themeColor="text1"/>
        </w:rPr>
        <w:t>. zm.), przy użyciu tej samej metodologii i zasad pracy/obciążenia budynku (liczba użytkowników budynku, ta sama funkcja, ten sam czas pracy oświetlenia wbudowanego, te same wymagania wymian strumieni powietrza itp.). Poprawność prezentowania danych będzie weryfikowana na etapie oceny wniosku o dofinansowanie, na podstawie przygotowanych dokumentów naborowych (opracowanych przez NFOŚiGW – w całości nazywane dalej jako „Audyt energetyczny ex-ante”), które narzucają ujednoliconą (w celach umożliwiających wiarygodne porównanie inwestycji pomiędzy sobą) metodologię prezentowania podstawowych parametrów inwestycji.</w:t>
      </w:r>
    </w:p>
    <w:p w14:paraId="5F249244" w14:textId="4B4D8086" w:rsidR="006A638D" w:rsidRPr="00851B65" w:rsidRDefault="00013816" w:rsidP="00ED74F7">
      <w:pPr>
        <w:spacing w:line="288" w:lineRule="auto"/>
        <w:rPr>
          <w:rFonts w:ascii="Open Sans" w:hAnsi="Open Sans" w:cs="Open Sans"/>
          <w:color w:val="000000" w:themeColor="text1"/>
        </w:rPr>
      </w:pPr>
      <w:r w:rsidRPr="00851B65">
        <w:rPr>
          <w:rFonts w:ascii="Open Sans" w:hAnsi="Open Sans" w:cs="Open Sans"/>
          <w:color w:val="000000" w:themeColor="text1"/>
        </w:rPr>
        <w:t>Dla pełnej i prawidłowej realizacji przedsięwzięcia przez Wnioskodawcę, mogą być kwalifikowane również (oprócz kosztów prac przygotowawczych wspomnianych w niniejszym dokumencie) pełnienie obowiązku nadzoru nad prawidłową realizacją prac budowlanych zgodnie z ogólnymi i szczegółowymi przepisami Prawa budowlanego w tym zakresie, niezbędne koszty zarządzania projektem, koszty zatrudnienia doradcy technicznego</w:t>
      </w:r>
      <w:r w:rsidR="00BD0E43" w:rsidRPr="00851B65">
        <w:rPr>
          <w:rFonts w:ascii="Open Sans" w:hAnsi="Open Sans" w:cs="Open Sans"/>
          <w:color w:val="000000" w:themeColor="text1"/>
        </w:rPr>
        <w:t>, prawnego</w:t>
      </w:r>
      <w:r w:rsidRPr="00851B65">
        <w:rPr>
          <w:rFonts w:ascii="Open Sans" w:hAnsi="Open Sans" w:cs="Open Sans"/>
          <w:color w:val="000000" w:themeColor="text1"/>
        </w:rPr>
        <w:t xml:space="preserve"> (</w:t>
      </w:r>
      <w:r w:rsidR="00BD0E43" w:rsidRPr="00851B65">
        <w:rPr>
          <w:rFonts w:ascii="Open Sans" w:hAnsi="Open Sans" w:cs="Open Sans"/>
          <w:color w:val="000000" w:themeColor="text1"/>
        </w:rPr>
        <w:t xml:space="preserve">np. </w:t>
      </w:r>
      <w:proofErr w:type="spellStart"/>
      <w:r w:rsidRPr="00851B65">
        <w:rPr>
          <w:rFonts w:ascii="Open Sans" w:hAnsi="Open Sans" w:cs="Open Sans"/>
          <w:color w:val="000000" w:themeColor="text1"/>
        </w:rPr>
        <w:t>facylitatora</w:t>
      </w:r>
      <w:proofErr w:type="spellEnd"/>
      <w:r w:rsidRPr="00851B65">
        <w:rPr>
          <w:rFonts w:ascii="Open Sans" w:hAnsi="Open Sans" w:cs="Open Sans"/>
          <w:color w:val="000000" w:themeColor="text1"/>
        </w:rPr>
        <w:t xml:space="preserve"> EPC) posiadającego właściwe uprawnienia, doświadczenie i znajomość Prawa budowlanego czy też Prawa Zamówień publicznych w </w:t>
      </w:r>
      <w:r w:rsidRPr="00851B65">
        <w:rPr>
          <w:rFonts w:ascii="Open Sans" w:hAnsi="Open Sans" w:cs="Open Sans"/>
          <w:color w:val="000000" w:themeColor="text1"/>
        </w:rPr>
        <w:lastRenderedPageBreak/>
        <w:t>zależności od spodziewanego zakresu prac modernizacyjnych i od poszukiwanego obszaru wsparcia.</w:t>
      </w:r>
    </w:p>
    <w:p w14:paraId="2EC245CA" w14:textId="37FB4C30" w:rsidR="00013816" w:rsidRPr="00851B65" w:rsidRDefault="00013816" w:rsidP="00ED74F7">
      <w:pPr>
        <w:spacing w:line="288" w:lineRule="auto"/>
        <w:rPr>
          <w:rFonts w:ascii="Open Sans" w:hAnsi="Open Sans" w:cs="Open Sans"/>
          <w:color w:val="000000" w:themeColor="text1"/>
        </w:rPr>
      </w:pPr>
      <w:r w:rsidRPr="00851B65">
        <w:rPr>
          <w:rFonts w:ascii="Open Sans" w:hAnsi="Open Sans" w:cs="Open Sans"/>
          <w:color w:val="000000" w:themeColor="text1"/>
        </w:rPr>
        <w:t xml:space="preserve">W ramach kosztów kwalifikowanych </w:t>
      </w:r>
      <w:r w:rsidR="00AF56C5" w:rsidRPr="00851B65">
        <w:rPr>
          <w:rFonts w:ascii="Open Sans" w:hAnsi="Open Sans" w:cs="Open Sans"/>
          <w:color w:val="000000" w:themeColor="text1"/>
        </w:rPr>
        <w:t>można</w:t>
      </w:r>
      <w:r w:rsidRPr="00851B65">
        <w:rPr>
          <w:rFonts w:ascii="Open Sans" w:hAnsi="Open Sans" w:cs="Open Sans"/>
          <w:color w:val="000000" w:themeColor="text1"/>
        </w:rPr>
        <w:t xml:space="preserve"> również uwzględnić</w:t>
      </w:r>
      <w:r w:rsidR="00AF56C5" w:rsidRPr="00851B65">
        <w:rPr>
          <w:rFonts w:ascii="Open Sans" w:hAnsi="Open Sans" w:cs="Open Sans"/>
          <w:color w:val="000000" w:themeColor="text1"/>
        </w:rPr>
        <w:t xml:space="preserve"> wydatki związane z </w:t>
      </w:r>
      <w:r w:rsidRPr="00851B65">
        <w:rPr>
          <w:rFonts w:ascii="Open Sans" w:hAnsi="Open Sans" w:cs="Open Sans"/>
          <w:color w:val="000000" w:themeColor="text1"/>
        </w:rPr>
        <w:t xml:space="preserve"> obowiązkow</w:t>
      </w:r>
      <w:r w:rsidR="00AF56C5" w:rsidRPr="00851B65">
        <w:rPr>
          <w:rFonts w:ascii="Open Sans" w:hAnsi="Open Sans" w:cs="Open Sans"/>
          <w:color w:val="000000" w:themeColor="text1"/>
        </w:rPr>
        <w:t>ymi</w:t>
      </w:r>
      <w:r w:rsidRPr="00851B65">
        <w:rPr>
          <w:rFonts w:ascii="Open Sans" w:hAnsi="Open Sans" w:cs="Open Sans"/>
          <w:color w:val="000000" w:themeColor="text1"/>
        </w:rPr>
        <w:t xml:space="preserve"> </w:t>
      </w:r>
      <w:r w:rsidR="00AF56C5" w:rsidRPr="00851B65">
        <w:rPr>
          <w:rFonts w:ascii="Open Sans" w:hAnsi="Open Sans" w:cs="Open Sans"/>
          <w:color w:val="000000" w:themeColor="text1"/>
        </w:rPr>
        <w:t>działaniami</w:t>
      </w:r>
      <w:r w:rsidRPr="00851B65">
        <w:rPr>
          <w:rFonts w:ascii="Open Sans" w:hAnsi="Open Sans" w:cs="Open Sans"/>
          <w:color w:val="000000" w:themeColor="text1"/>
        </w:rPr>
        <w:t xml:space="preserve"> informac</w:t>
      </w:r>
      <w:r w:rsidR="00AF56C5" w:rsidRPr="00851B65">
        <w:rPr>
          <w:rFonts w:ascii="Open Sans" w:hAnsi="Open Sans" w:cs="Open Sans"/>
          <w:color w:val="000000" w:themeColor="text1"/>
        </w:rPr>
        <w:t>yjno-</w:t>
      </w:r>
      <w:r w:rsidRPr="00851B65">
        <w:rPr>
          <w:rFonts w:ascii="Open Sans" w:hAnsi="Open Sans" w:cs="Open Sans"/>
          <w:color w:val="000000" w:themeColor="text1"/>
        </w:rPr>
        <w:t>promoc</w:t>
      </w:r>
      <w:r w:rsidR="00AF56C5" w:rsidRPr="00851B65">
        <w:rPr>
          <w:rFonts w:ascii="Open Sans" w:hAnsi="Open Sans" w:cs="Open Sans"/>
          <w:color w:val="000000" w:themeColor="text1"/>
        </w:rPr>
        <w:t>yjnymi</w:t>
      </w:r>
      <w:r w:rsidRPr="00851B65">
        <w:rPr>
          <w:rFonts w:ascii="Open Sans" w:hAnsi="Open Sans" w:cs="Open Sans"/>
          <w:color w:val="000000" w:themeColor="text1"/>
        </w:rPr>
        <w:t xml:space="preserve"> projektu, wynikające z warunków realizacji przedsięwzięcia dofinansowywanego ze środków funduszy europejskich – zgodnie z zapisami wzoru </w:t>
      </w:r>
      <w:proofErr w:type="spellStart"/>
      <w:r w:rsidRPr="00851B65">
        <w:rPr>
          <w:rFonts w:ascii="Open Sans" w:hAnsi="Open Sans" w:cs="Open Sans"/>
          <w:color w:val="000000" w:themeColor="text1"/>
        </w:rPr>
        <w:t>UoD</w:t>
      </w:r>
      <w:proofErr w:type="spellEnd"/>
      <w:r w:rsidRPr="00851B65">
        <w:rPr>
          <w:rFonts w:ascii="Open Sans" w:hAnsi="Open Sans" w:cs="Open Sans"/>
          <w:color w:val="000000" w:themeColor="text1"/>
        </w:rPr>
        <w:t>.</w:t>
      </w:r>
    </w:p>
    <w:p w14:paraId="0281E289" w14:textId="77777777" w:rsidR="006A638D" w:rsidRPr="00851B65" w:rsidRDefault="006A638D" w:rsidP="00DC06B4">
      <w:pPr>
        <w:spacing w:after="360" w:line="288" w:lineRule="auto"/>
        <w:rPr>
          <w:rFonts w:ascii="Open Sans" w:hAnsi="Open Sans" w:cs="Open Sans"/>
          <w:color w:val="000000" w:themeColor="text1"/>
        </w:rPr>
      </w:pPr>
      <w:r w:rsidRPr="00851B65">
        <w:rPr>
          <w:rFonts w:ascii="Open Sans" w:hAnsi="Open Sans" w:cs="Open Sans"/>
          <w:color w:val="000000" w:themeColor="text1"/>
        </w:rPr>
        <w:t>Należy zwrócić uwagę na prawidłowe przyporządkowanie wydatków do wydatków bezpośrednich i pośrednich. Koszty pośrednie zostały opisane w załączniku 7 „Katalog kosztów pośrednich” do Regulaminu naboru.</w:t>
      </w:r>
    </w:p>
    <w:p w14:paraId="17FE22D0" w14:textId="5EA72036" w:rsidR="006E237B" w:rsidRPr="00591749" w:rsidRDefault="006E237B" w:rsidP="00591749">
      <w:pPr>
        <w:pStyle w:val="Akapitzlist"/>
        <w:numPr>
          <w:ilvl w:val="0"/>
          <w:numId w:val="7"/>
        </w:numPr>
        <w:pBdr>
          <w:top w:val="single" w:sz="4" w:space="1" w:color="auto"/>
          <w:left w:val="single" w:sz="4" w:space="4" w:color="auto"/>
          <w:bottom w:val="single" w:sz="4" w:space="1" w:color="auto"/>
          <w:right w:val="single" w:sz="4" w:space="4" w:color="auto"/>
        </w:pBdr>
        <w:spacing w:line="288" w:lineRule="auto"/>
        <w:ind w:firstLine="207"/>
        <w:rPr>
          <w:rFonts w:ascii="Open Sans" w:hAnsi="Open Sans" w:cs="Open Sans"/>
          <w:b/>
          <w:bCs/>
        </w:rPr>
      </w:pPr>
      <w:r w:rsidRPr="00591749">
        <w:rPr>
          <w:rFonts w:ascii="Open Sans" w:hAnsi="Open Sans" w:cs="Open Sans"/>
          <w:b/>
          <w:bCs/>
        </w:rPr>
        <w:t>Podstawowe definicje i pojęcia</w:t>
      </w:r>
      <w:r w:rsidR="00DD1953" w:rsidRPr="00591749">
        <w:rPr>
          <w:rFonts w:ascii="Open Sans" w:hAnsi="Open Sans" w:cs="Open Sans"/>
          <w:b/>
          <w:bCs/>
        </w:rPr>
        <w:t>.</w:t>
      </w:r>
    </w:p>
    <w:p w14:paraId="0B8A35AC" w14:textId="21D06A5A" w:rsidR="006E237B" w:rsidRPr="00851B65" w:rsidRDefault="006E237B" w:rsidP="00ED74F7">
      <w:pPr>
        <w:spacing w:line="288" w:lineRule="auto"/>
        <w:rPr>
          <w:rFonts w:ascii="Open Sans" w:hAnsi="Open Sans" w:cs="Open Sans"/>
        </w:rPr>
      </w:pPr>
      <w:r w:rsidRPr="00851B65">
        <w:rPr>
          <w:rFonts w:ascii="Open Sans" w:hAnsi="Open Sans" w:cs="Open Sans"/>
          <w:b/>
          <w:bCs/>
        </w:rPr>
        <w:t>Budynek zabytkowy</w:t>
      </w:r>
      <w:r w:rsidRPr="00851B65">
        <w:rPr>
          <w:rFonts w:ascii="Open Sans" w:hAnsi="Open Sans" w:cs="Open Sans"/>
        </w:rPr>
        <w:t xml:space="preserve">, to budynek wpisany do Rejestru zabytków lub znajdującego się </w:t>
      </w:r>
      <w:r w:rsidR="004752BD" w:rsidRPr="00851B65">
        <w:rPr>
          <w:rFonts w:ascii="Open Sans" w:hAnsi="Open Sans" w:cs="Open Sans"/>
        </w:rPr>
        <w:br/>
      </w:r>
      <w:r w:rsidRPr="00851B65">
        <w:rPr>
          <w:rFonts w:ascii="Open Sans" w:hAnsi="Open Sans" w:cs="Open Sans"/>
        </w:rPr>
        <w:t xml:space="preserve">w ewidencji wojewódzkiej lub gminnej, zgodnie z ustawą z dnia 23 lipca 2003 r. </w:t>
      </w:r>
      <w:r w:rsidR="004752BD" w:rsidRPr="00851B65">
        <w:rPr>
          <w:rFonts w:ascii="Open Sans" w:hAnsi="Open Sans" w:cs="Open Sans"/>
        </w:rPr>
        <w:br/>
      </w:r>
      <w:r w:rsidRPr="00851B65">
        <w:rPr>
          <w:rFonts w:ascii="Open Sans" w:hAnsi="Open Sans" w:cs="Open Sans"/>
        </w:rPr>
        <w:t>o ochronie zabytków i opiece nad zabytkami.</w:t>
      </w:r>
    </w:p>
    <w:p w14:paraId="5039AC20" w14:textId="669D5A56" w:rsidR="006E237B" w:rsidRPr="00851B65" w:rsidRDefault="006E237B" w:rsidP="00ED74F7">
      <w:pPr>
        <w:spacing w:line="288" w:lineRule="auto"/>
        <w:rPr>
          <w:rFonts w:ascii="Open Sans" w:hAnsi="Open Sans" w:cs="Open Sans"/>
        </w:rPr>
      </w:pPr>
      <w:r w:rsidRPr="00851B65">
        <w:rPr>
          <w:rFonts w:ascii="Open Sans" w:hAnsi="Open Sans" w:cs="Open Sans"/>
          <w:b/>
          <w:bCs/>
        </w:rPr>
        <w:t>Audyt energetyczny ex-ante</w:t>
      </w:r>
      <w:r w:rsidRPr="00851B65">
        <w:rPr>
          <w:rFonts w:ascii="Open Sans" w:hAnsi="Open Sans" w:cs="Open Sans"/>
        </w:rPr>
        <w:t xml:space="preserve">, </w:t>
      </w:r>
      <w:r w:rsidR="000429D1" w:rsidRPr="000429D1">
        <w:rPr>
          <w:rFonts w:ascii="Open Sans" w:hAnsi="Open Sans" w:cs="Open Sans"/>
        </w:rPr>
        <w:t xml:space="preserve">jest to audyt wykonany zgodnie z przyjętą Metodyką sporządzania audytów energetycznych w zakresie głębokiej kompleksowej modernizacji energetycznej budynków finansowanych w ramach Programu Fundusze Europejskie </w:t>
      </w:r>
      <w:r w:rsidR="00BB5DD4">
        <w:rPr>
          <w:rFonts w:ascii="Open Sans" w:hAnsi="Open Sans" w:cs="Open Sans"/>
        </w:rPr>
        <w:br/>
      </w:r>
      <w:r w:rsidR="000429D1" w:rsidRPr="000429D1">
        <w:rPr>
          <w:rFonts w:ascii="Open Sans" w:hAnsi="Open Sans" w:cs="Open Sans"/>
        </w:rPr>
        <w:t>na Infrastrukturę, Klimat, Środowisko 2021-2027, Priorytet FENX.10 Wsparcie obszarów popowodziowych z Europejskiego Funduszu Rozwoju Regionalnego, Działanie FENX.10.02 Odbudowa uszkodzonej lub zniszczonej infrastruktury w zakresie budynków użyteczności publicznej, stanowiący załącznik do Regulaminu naboru.</w:t>
      </w:r>
    </w:p>
    <w:p w14:paraId="4F8D1AA5" w14:textId="785687CB" w:rsidR="006E237B" w:rsidRPr="00851B65" w:rsidRDefault="006E237B" w:rsidP="00ED74F7">
      <w:pPr>
        <w:spacing w:line="288" w:lineRule="auto"/>
        <w:rPr>
          <w:rFonts w:ascii="Open Sans" w:hAnsi="Open Sans" w:cs="Open Sans"/>
        </w:rPr>
      </w:pPr>
      <w:r w:rsidRPr="00851B65">
        <w:rPr>
          <w:rFonts w:ascii="Open Sans" w:hAnsi="Open Sans" w:cs="Open Sans"/>
          <w:b/>
          <w:bCs/>
        </w:rPr>
        <w:t>Audyt energetyczny ex-post</w:t>
      </w:r>
      <w:r w:rsidRPr="00851B65">
        <w:rPr>
          <w:rFonts w:ascii="Open Sans" w:hAnsi="Open Sans" w:cs="Open Sans"/>
        </w:rPr>
        <w:t>,</w:t>
      </w:r>
      <w:r w:rsidR="000E302C" w:rsidRPr="00851B65">
        <w:rPr>
          <w:rFonts w:ascii="Open Sans" w:hAnsi="Open Sans" w:cs="Open Sans"/>
        </w:rPr>
        <w:t xml:space="preserve"> jest</w:t>
      </w:r>
      <w:r w:rsidRPr="00851B65">
        <w:rPr>
          <w:rFonts w:ascii="Open Sans" w:hAnsi="Open Sans" w:cs="Open Sans"/>
        </w:rPr>
        <w:t xml:space="preserve"> to audyt</w:t>
      </w:r>
      <w:r w:rsidR="00DD1953" w:rsidRPr="00851B65">
        <w:rPr>
          <w:rFonts w:ascii="Open Sans" w:hAnsi="Open Sans" w:cs="Open Sans"/>
        </w:rPr>
        <w:t xml:space="preserve"> powykonawczy,</w:t>
      </w:r>
      <w:r w:rsidRPr="00851B65">
        <w:rPr>
          <w:rFonts w:ascii="Open Sans" w:hAnsi="Open Sans" w:cs="Open Sans"/>
        </w:rPr>
        <w:t xml:space="preserve"> wykonany </w:t>
      </w:r>
      <w:r w:rsidR="00DD1953" w:rsidRPr="00851B65">
        <w:rPr>
          <w:rFonts w:ascii="Open Sans" w:hAnsi="Open Sans" w:cs="Open Sans"/>
        </w:rPr>
        <w:t xml:space="preserve">po zakończeniu realizacji przedsięwzięcia, </w:t>
      </w:r>
      <w:r w:rsidRPr="00851B65">
        <w:rPr>
          <w:rFonts w:ascii="Open Sans" w:hAnsi="Open Sans" w:cs="Open Sans"/>
        </w:rPr>
        <w:t xml:space="preserve">zgodnie z </w:t>
      </w:r>
      <w:r w:rsidR="00DD1953" w:rsidRPr="00851B65">
        <w:rPr>
          <w:rFonts w:ascii="Open Sans" w:hAnsi="Open Sans" w:cs="Open Sans"/>
        </w:rPr>
        <w:t>m</w:t>
      </w:r>
      <w:r w:rsidRPr="00851B65">
        <w:rPr>
          <w:rFonts w:ascii="Open Sans" w:hAnsi="Open Sans" w:cs="Open Sans"/>
        </w:rPr>
        <w:t>etod</w:t>
      </w:r>
      <w:r w:rsidR="00DD1953" w:rsidRPr="00851B65">
        <w:rPr>
          <w:rFonts w:ascii="Open Sans" w:hAnsi="Open Sans" w:cs="Open Sans"/>
        </w:rPr>
        <w:t>ologią</w:t>
      </w:r>
      <w:r w:rsidRPr="00851B65">
        <w:rPr>
          <w:rFonts w:ascii="Open Sans" w:hAnsi="Open Sans" w:cs="Open Sans"/>
        </w:rPr>
        <w:t xml:space="preserve"> przyjętą na etapie audytu ex-ante </w:t>
      </w:r>
      <w:r w:rsidR="000E302C" w:rsidRPr="00851B65">
        <w:rPr>
          <w:rFonts w:ascii="Open Sans" w:hAnsi="Open Sans" w:cs="Open Sans"/>
        </w:rPr>
        <w:t>–</w:t>
      </w:r>
      <w:r w:rsidR="00DE3134" w:rsidRPr="00851B65">
        <w:rPr>
          <w:rFonts w:ascii="Open Sans" w:hAnsi="Open Sans" w:cs="Open Sans"/>
        </w:rPr>
        <w:t xml:space="preserve"> </w:t>
      </w:r>
      <w:r w:rsidRPr="00851B65">
        <w:rPr>
          <w:rFonts w:ascii="Open Sans" w:hAnsi="Open Sans" w:cs="Open Sans"/>
        </w:rPr>
        <w:t>wykonan</w:t>
      </w:r>
      <w:r w:rsidR="000E302C" w:rsidRPr="00851B65">
        <w:rPr>
          <w:rFonts w:ascii="Open Sans" w:hAnsi="Open Sans" w:cs="Open Sans"/>
        </w:rPr>
        <w:t xml:space="preserve">ego </w:t>
      </w:r>
      <w:r w:rsidRPr="00851B65">
        <w:rPr>
          <w:rFonts w:ascii="Open Sans" w:hAnsi="Open Sans" w:cs="Open Sans"/>
        </w:rPr>
        <w:t xml:space="preserve">dla  faktycznie zrealizowanych usprawnień na podstawie </w:t>
      </w:r>
      <w:r w:rsidR="000E302C" w:rsidRPr="00851B65">
        <w:rPr>
          <w:rFonts w:ascii="Open Sans" w:hAnsi="Open Sans" w:cs="Open Sans"/>
        </w:rPr>
        <w:t xml:space="preserve">odebranej </w:t>
      </w:r>
      <w:r w:rsidRPr="00851B65">
        <w:rPr>
          <w:rFonts w:ascii="Open Sans" w:hAnsi="Open Sans" w:cs="Open Sans"/>
        </w:rPr>
        <w:t>dokumentacji powykonawczej.</w:t>
      </w:r>
    </w:p>
    <w:p w14:paraId="74EA15C0" w14:textId="43663B80" w:rsidR="00013816" w:rsidRPr="00851B65" w:rsidRDefault="00013816" w:rsidP="00ED74F7">
      <w:pPr>
        <w:spacing w:after="0" w:line="288" w:lineRule="auto"/>
        <w:rPr>
          <w:rFonts w:ascii="Open Sans" w:hAnsi="Open Sans" w:cs="Open Sans"/>
        </w:rPr>
      </w:pPr>
      <w:r w:rsidRPr="00851B65">
        <w:rPr>
          <w:rFonts w:ascii="Open Sans" w:hAnsi="Open Sans" w:cs="Open Sans"/>
          <w:b/>
          <w:bCs/>
        </w:rPr>
        <w:t>Zasada DNSH</w:t>
      </w:r>
      <w:r w:rsidRPr="00851B65">
        <w:rPr>
          <w:rFonts w:ascii="Open Sans" w:hAnsi="Open Sans" w:cs="Open Sans"/>
        </w:rPr>
        <w:t xml:space="preserve"> (ang. Do No </w:t>
      </w:r>
      <w:proofErr w:type="spellStart"/>
      <w:r w:rsidRPr="00851B65">
        <w:rPr>
          <w:rFonts w:ascii="Open Sans" w:hAnsi="Open Sans" w:cs="Open Sans"/>
        </w:rPr>
        <w:t>Significant</w:t>
      </w:r>
      <w:proofErr w:type="spellEnd"/>
      <w:r w:rsidRPr="00851B65">
        <w:rPr>
          <w:rFonts w:ascii="Open Sans" w:hAnsi="Open Sans" w:cs="Open Sans"/>
        </w:rPr>
        <w:t xml:space="preserve"> </w:t>
      </w:r>
      <w:proofErr w:type="spellStart"/>
      <w:r w:rsidRPr="00851B65">
        <w:rPr>
          <w:rFonts w:ascii="Open Sans" w:hAnsi="Open Sans" w:cs="Open Sans"/>
        </w:rPr>
        <w:t>Harm</w:t>
      </w:r>
      <w:proofErr w:type="spellEnd"/>
      <w:r w:rsidRPr="00851B65">
        <w:rPr>
          <w:rFonts w:ascii="Open Sans" w:hAnsi="Open Sans" w:cs="Open Sans"/>
        </w:rPr>
        <w:t xml:space="preserve">), to zasada „nie czyń poważnych szkód” </w:t>
      </w:r>
      <w:r w:rsidRPr="00851B65">
        <w:br/>
      </w:r>
      <w:r w:rsidRPr="00851B65">
        <w:rPr>
          <w:rFonts w:ascii="Open Sans" w:hAnsi="Open Sans" w:cs="Open Sans"/>
        </w:rPr>
        <w:t>i oznacza niewspieranie ani nieprowadzenie działalności gospodarczej, która czyni znaczące szkody dla któregokolwiek z celów środowiskowych, w stosownych przypadkach, w rozumieniu art. 17 rozporządzenia Parlamentu Europejskiego i Rady (UE) 2020/852 z dnia 18 czerwca 2020 r. w sprawie ustanowienia ram ułatwiających zrównoważone inwestycje, zmieniające rozporządzenie (UE) 2019/2088). Szczegółowe propozycje potwierdzenia realizacji inwestycji termomodernizacyjnych zgodnie z zasadą DNSH znajdują się w Rozdziale I</w:t>
      </w:r>
      <w:r w:rsidR="00475E11" w:rsidRPr="00851B65">
        <w:rPr>
          <w:rFonts w:ascii="Open Sans" w:hAnsi="Open Sans" w:cs="Open Sans"/>
        </w:rPr>
        <w:t>V</w:t>
      </w:r>
      <w:r w:rsidRPr="00851B65">
        <w:rPr>
          <w:rFonts w:ascii="Open Sans" w:hAnsi="Open Sans" w:cs="Open Sans"/>
        </w:rPr>
        <w:t>. Realizacja projektu zgodnie z zasadą DNSH.</w:t>
      </w:r>
    </w:p>
    <w:p w14:paraId="5045E8BE" w14:textId="61FA3CD4" w:rsidR="00944D22" w:rsidRPr="00591749" w:rsidRDefault="00DD1953" w:rsidP="00591749">
      <w:pPr>
        <w:pStyle w:val="Akapitzlist"/>
        <w:numPr>
          <w:ilvl w:val="0"/>
          <w:numId w:val="7"/>
        </w:numPr>
        <w:pBdr>
          <w:top w:val="single" w:sz="4" w:space="1" w:color="auto"/>
          <w:left w:val="single" w:sz="4" w:space="4" w:color="auto"/>
          <w:bottom w:val="single" w:sz="4" w:space="1" w:color="auto"/>
          <w:right w:val="single" w:sz="4" w:space="4" w:color="auto"/>
        </w:pBdr>
        <w:spacing w:line="288" w:lineRule="auto"/>
        <w:ind w:left="142" w:firstLine="283"/>
        <w:rPr>
          <w:rFonts w:ascii="Open Sans" w:hAnsi="Open Sans" w:cs="Open Sans"/>
          <w:b/>
          <w:bCs/>
        </w:rPr>
      </w:pPr>
      <w:r w:rsidRPr="00591749">
        <w:rPr>
          <w:rFonts w:ascii="Open Sans" w:hAnsi="Open Sans" w:cs="Open Sans"/>
          <w:b/>
          <w:bCs/>
        </w:rPr>
        <w:lastRenderedPageBreak/>
        <w:t>Katalog Kosztów kwalifikowanych prac wynikających z opracowania audytu energetycznego ex-ante.</w:t>
      </w:r>
    </w:p>
    <w:p w14:paraId="6C0E6B84" w14:textId="43F5A3A5" w:rsidR="00DD1953" w:rsidRPr="00ED74F7" w:rsidRDefault="00DD1953" w:rsidP="00EC4FFD">
      <w:pPr>
        <w:pStyle w:val="Akapitzlist"/>
        <w:numPr>
          <w:ilvl w:val="1"/>
          <w:numId w:val="5"/>
        </w:numPr>
        <w:tabs>
          <w:tab w:val="left" w:pos="567"/>
        </w:tabs>
        <w:spacing w:line="288" w:lineRule="auto"/>
        <w:ind w:left="417"/>
        <w:rPr>
          <w:rFonts w:ascii="Open Sans" w:hAnsi="Open Sans" w:cs="Open Sans"/>
          <w:b/>
          <w:bCs/>
        </w:rPr>
      </w:pPr>
      <w:r w:rsidRPr="00ED74F7">
        <w:rPr>
          <w:rFonts w:ascii="Open Sans" w:hAnsi="Open Sans" w:cs="Open Sans"/>
          <w:b/>
          <w:bCs/>
        </w:rPr>
        <w:t>Ściany zewnętrzne</w:t>
      </w:r>
      <w:r w:rsidR="00944D22" w:rsidRPr="00ED74F7">
        <w:rPr>
          <w:rFonts w:ascii="Open Sans" w:hAnsi="Open Sans" w:cs="Open Sans"/>
          <w:b/>
          <w:bCs/>
        </w:rPr>
        <w:t>.</w:t>
      </w:r>
    </w:p>
    <w:p w14:paraId="003F9EB1" w14:textId="529DFD81" w:rsidR="00DD1953" w:rsidRPr="00851B65" w:rsidRDefault="00DD1953" w:rsidP="00ED74F7">
      <w:pPr>
        <w:spacing w:line="288" w:lineRule="auto"/>
        <w:rPr>
          <w:rFonts w:ascii="Open Sans" w:hAnsi="Open Sans" w:cs="Open Sans"/>
        </w:rPr>
      </w:pPr>
      <w:r w:rsidRPr="00851B65">
        <w:rPr>
          <w:rFonts w:ascii="Open Sans" w:hAnsi="Open Sans" w:cs="Open Sans"/>
        </w:rPr>
        <w:t xml:space="preserve">(stykające się </w:t>
      </w:r>
      <w:r w:rsidR="00013816" w:rsidRPr="00851B65">
        <w:rPr>
          <w:rFonts w:ascii="Open Sans" w:hAnsi="Open Sans" w:cs="Open Sans"/>
        </w:rPr>
        <w:t>ze środowiskiem zewnętrznym</w:t>
      </w:r>
      <w:r w:rsidRPr="00851B65">
        <w:rPr>
          <w:rFonts w:ascii="Open Sans" w:hAnsi="Open Sans" w:cs="Open Sans"/>
        </w:rPr>
        <w:t>, niezależnie od rodzaju ściany, stanowiące osłonę bilansową budynku)</w:t>
      </w:r>
    </w:p>
    <w:p w14:paraId="23B7A9F8" w14:textId="149E911D" w:rsidR="00DD1953" w:rsidRPr="00ED74F7" w:rsidRDefault="00DD1953" w:rsidP="00EC4FFD">
      <w:pPr>
        <w:pStyle w:val="Akapitzlist"/>
        <w:numPr>
          <w:ilvl w:val="2"/>
          <w:numId w:val="24"/>
        </w:numPr>
        <w:spacing w:line="288" w:lineRule="auto"/>
        <w:ind w:left="237"/>
        <w:rPr>
          <w:rFonts w:ascii="Open Sans" w:hAnsi="Open Sans" w:cs="Open Sans"/>
        </w:rPr>
      </w:pPr>
      <w:r w:rsidRPr="00ED74F7">
        <w:rPr>
          <w:rFonts w:ascii="Open Sans" w:hAnsi="Open Sans" w:cs="Open Sans"/>
        </w:rPr>
        <w:t>ocieplanie ścian zewnętrznych</w:t>
      </w:r>
      <w:r w:rsidR="00013816" w:rsidRPr="00ED74F7">
        <w:rPr>
          <w:rFonts w:ascii="Open Sans" w:hAnsi="Open Sans" w:cs="Open Sans"/>
        </w:rPr>
        <w:t xml:space="preserve"> (w tym fundamentowych)</w:t>
      </w:r>
      <w:r w:rsidRPr="00ED74F7">
        <w:rPr>
          <w:rFonts w:ascii="Open Sans" w:hAnsi="Open Sans" w:cs="Open Sans"/>
        </w:rPr>
        <w:t xml:space="preserve"> – technologie ocieplania w wyniku, których uzyskuje się zmniejszenie strat ciepła przez przenikanie, polegające na umieszczeniu warstwy izolacji termicznej po stronie zewnętrznej </w:t>
      </w:r>
      <w:r w:rsidR="000D0903" w:rsidRPr="00ED74F7">
        <w:rPr>
          <w:rFonts w:ascii="Open Sans" w:hAnsi="Open Sans" w:cs="Open Sans"/>
        </w:rPr>
        <w:t xml:space="preserve">w uzasadnionych przypadkach (np. wynikających z uzgodnień z Konserwatorem Zabytków) </w:t>
      </w:r>
      <w:r w:rsidRPr="00ED74F7">
        <w:rPr>
          <w:rFonts w:ascii="Open Sans" w:hAnsi="Open Sans" w:cs="Open Sans"/>
        </w:rPr>
        <w:t xml:space="preserve"> po stronie wewnętrznej po wykonaniu obliczeń cieplno-wilgotnościowych mających na celu zapobieganie występowania „punktu rosy” w ocieplanej przegrodzie, prowadzące do uzyskania odpowiednich współczynników przenikania ciepła, zgodnych z obowiązującymi przepisami </w:t>
      </w:r>
      <w:proofErr w:type="spellStart"/>
      <w:r w:rsidRPr="00ED74F7">
        <w:rPr>
          <w:rFonts w:ascii="Open Sans" w:hAnsi="Open Sans" w:cs="Open Sans"/>
        </w:rPr>
        <w:t>techniczno</w:t>
      </w:r>
      <w:proofErr w:type="spellEnd"/>
      <w:r w:rsidRPr="00ED74F7">
        <w:rPr>
          <w:rFonts w:ascii="Open Sans" w:hAnsi="Open Sans" w:cs="Open Sans"/>
        </w:rPr>
        <w:t xml:space="preserve"> – budowlanymi), w tym również obejmujące technologie, polegające na tworzeniu tzw. „żyjących, zielonych ścian”;</w:t>
      </w:r>
    </w:p>
    <w:p w14:paraId="58005560" w14:textId="0497A280" w:rsidR="00DD1953" w:rsidRPr="00EC4FFD" w:rsidRDefault="00DD1953" w:rsidP="00EC4FFD">
      <w:pPr>
        <w:pStyle w:val="Akapitzlist"/>
        <w:spacing w:line="288" w:lineRule="auto"/>
        <w:ind w:left="237"/>
        <w:rPr>
          <w:rFonts w:ascii="Open Sans" w:hAnsi="Open Sans" w:cs="Open Sans"/>
        </w:rPr>
      </w:pPr>
      <w:r w:rsidRPr="00EC4FFD">
        <w:rPr>
          <w:rFonts w:ascii="Open Sans" w:hAnsi="Open Sans" w:cs="Open Sans"/>
        </w:rPr>
        <w:t xml:space="preserve">W ramach robót związanych z modernizacją ścian zewnętrznych, do kosztów kwalifikowanych zalicza się wszelkie roboty związane z rozbiórką dotychczasowej elewacji (jeżeli wynika to z </w:t>
      </w:r>
      <w:r w:rsidR="00DC0990" w:rsidRPr="00EC4FFD">
        <w:rPr>
          <w:rFonts w:ascii="Open Sans" w:hAnsi="Open Sans" w:cs="Open Sans"/>
        </w:rPr>
        <w:t>A</w:t>
      </w:r>
      <w:r w:rsidRPr="00EC4FFD">
        <w:rPr>
          <w:rFonts w:ascii="Open Sans" w:hAnsi="Open Sans" w:cs="Open Sans"/>
        </w:rPr>
        <w:t xml:space="preserve">udytu energetycznego ex-ante), w tym w szczególności rozbiórka (obejmująca demontaż, transport i unieszkodliwianie) elewacji zawierającej </w:t>
      </w:r>
      <w:r w:rsidR="004752BD" w:rsidRPr="00EC4FFD">
        <w:rPr>
          <w:rFonts w:ascii="Open Sans" w:hAnsi="Open Sans" w:cs="Open Sans"/>
        </w:rPr>
        <w:br/>
      </w:r>
      <w:r w:rsidRPr="00EC4FFD">
        <w:rPr>
          <w:rFonts w:ascii="Open Sans" w:hAnsi="Open Sans" w:cs="Open Sans"/>
        </w:rPr>
        <w:t xml:space="preserve">w swym składzie azbest (m.in. takie wyroby jak chryzotyl – tzw. azbest biały, krokidolit – tzw. azbest niebieski, </w:t>
      </w:r>
      <w:proofErr w:type="spellStart"/>
      <w:r w:rsidRPr="00EC4FFD">
        <w:rPr>
          <w:rFonts w:ascii="Open Sans" w:hAnsi="Open Sans" w:cs="Open Sans"/>
        </w:rPr>
        <w:t>amozyt</w:t>
      </w:r>
      <w:proofErr w:type="spellEnd"/>
      <w:r w:rsidRPr="00EC4FFD">
        <w:rPr>
          <w:rFonts w:ascii="Open Sans" w:hAnsi="Open Sans" w:cs="Open Sans"/>
        </w:rPr>
        <w:t xml:space="preserve"> – tzw. azbest brązowy lub inne). Roboty związane </w:t>
      </w:r>
      <w:r w:rsidR="004752BD" w:rsidRPr="00EC4FFD">
        <w:rPr>
          <w:rFonts w:ascii="Open Sans" w:hAnsi="Open Sans" w:cs="Open Sans"/>
        </w:rPr>
        <w:br/>
      </w:r>
      <w:r w:rsidRPr="00EC4FFD">
        <w:rPr>
          <w:rFonts w:ascii="Open Sans" w:hAnsi="Open Sans" w:cs="Open Sans"/>
        </w:rPr>
        <w:t xml:space="preserve">z usuwaniem azbestu są kwalifikowane wyłącznie pod warunkiem, że są prowadzone </w:t>
      </w:r>
      <w:r w:rsidR="004752BD" w:rsidRPr="00EC4FFD">
        <w:rPr>
          <w:rFonts w:ascii="Open Sans" w:hAnsi="Open Sans" w:cs="Open Sans"/>
        </w:rPr>
        <w:br/>
      </w:r>
      <w:r w:rsidRPr="00EC4FFD">
        <w:rPr>
          <w:rFonts w:ascii="Open Sans" w:hAnsi="Open Sans" w:cs="Open Sans"/>
        </w:rPr>
        <w:t>z uwzględnieniem specjalnych zasad bezpieczeństwa określonych w odpowiednich przepisach, a w szczególności w:</w:t>
      </w:r>
    </w:p>
    <w:p w14:paraId="1FD83AA3" w14:textId="4841CD22" w:rsidR="00DD1953" w:rsidRPr="00EC4FFD" w:rsidRDefault="00DD1953" w:rsidP="00EC4FFD">
      <w:pPr>
        <w:pStyle w:val="Akapitzlist"/>
        <w:numPr>
          <w:ilvl w:val="2"/>
          <w:numId w:val="24"/>
        </w:numPr>
        <w:spacing w:line="288" w:lineRule="auto"/>
        <w:ind w:left="709"/>
        <w:rPr>
          <w:rFonts w:ascii="Open Sans" w:hAnsi="Open Sans" w:cs="Open Sans"/>
        </w:rPr>
      </w:pPr>
      <w:r w:rsidRPr="00EC4FFD">
        <w:rPr>
          <w:rFonts w:ascii="Open Sans" w:hAnsi="Open Sans" w:cs="Open Sans"/>
        </w:rPr>
        <w:t xml:space="preserve">Ustawie z dnia 19 czerwca 1997r. o zakazie stosowania wyrobów zawierających azbest (Dz. U. nr 3 z 2003r., poz. 20 z </w:t>
      </w:r>
      <w:proofErr w:type="spellStart"/>
      <w:r w:rsidRPr="00EC4FFD">
        <w:rPr>
          <w:rFonts w:ascii="Open Sans" w:hAnsi="Open Sans" w:cs="Open Sans"/>
        </w:rPr>
        <w:t>późn</w:t>
      </w:r>
      <w:proofErr w:type="spellEnd"/>
      <w:r w:rsidRPr="00EC4FFD">
        <w:rPr>
          <w:rFonts w:ascii="Open Sans" w:hAnsi="Open Sans" w:cs="Open Sans"/>
        </w:rPr>
        <w:t>. zm.),</w:t>
      </w:r>
    </w:p>
    <w:p w14:paraId="454E553C" w14:textId="0247FDC4" w:rsidR="00DD1953" w:rsidRPr="00EC4FFD" w:rsidRDefault="00DD1953" w:rsidP="00EC4FFD">
      <w:pPr>
        <w:pStyle w:val="Akapitzlist"/>
        <w:numPr>
          <w:ilvl w:val="2"/>
          <w:numId w:val="24"/>
        </w:numPr>
        <w:spacing w:line="288" w:lineRule="auto"/>
        <w:ind w:left="709"/>
        <w:rPr>
          <w:rFonts w:ascii="Open Sans" w:hAnsi="Open Sans" w:cs="Open Sans"/>
        </w:rPr>
      </w:pPr>
      <w:r w:rsidRPr="00EC4FFD">
        <w:rPr>
          <w:rFonts w:ascii="Open Sans" w:hAnsi="Open Sans" w:cs="Open Sans"/>
        </w:rPr>
        <w:t>Rozporządzeniu Ministra Gospodarki, Pracy i Polityki Społecznej z dnia 2 kwietnia 2004r. w sprawie sposobów i warunków bezpiecznego użytkowania i usuwania wyrobów zawierających azbest (Dz. U. nr 71 z 2004</w:t>
      </w:r>
      <w:r w:rsidR="006738FA">
        <w:rPr>
          <w:rFonts w:ascii="Open Sans" w:hAnsi="Open Sans" w:cs="Open Sans"/>
        </w:rPr>
        <w:t xml:space="preserve"> </w:t>
      </w:r>
      <w:r w:rsidRPr="00EC4FFD">
        <w:rPr>
          <w:rFonts w:ascii="Open Sans" w:hAnsi="Open Sans" w:cs="Open Sans"/>
        </w:rPr>
        <w:t>r., poz. 649),</w:t>
      </w:r>
    </w:p>
    <w:p w14:paraId="6928A65A" w14:textId="1EDF0220" w:rsidR="00DD1953" w:rsidRPr="00EC4FFD" w:rsidRDefault="00DD1953" w:rsidP="00EC4FFD">
      <w:pPr>
        <w:pStyle w:val="Akapitzlist"/>
        <w:numPr>
          <w:ilvl w:val="2"/>
          <w:numId w:val="24"/>
        </w:numPr>
        <w:spacing w:line="288" w:lineRule="auto"/>
        <w:ind w:left="709"/>
        <w:rPr>
          <w:rFonts w:ascii="Open Sans" w:hAnsi="Open Sans" w:cs="Open Sans"/>
        </w:rPr>
      </w:pPr>
      <w:r w:rsidRPr="00EC4FFD">
        <w:rPr>
          <w:rFonts w:ascii="Open Sans" w:hAnsi="Open Sans" w:cs="Open Sans"/>
        </w:rPr>
        <w:t>Rozporządzeniu Ministra Gospodarki, Pracy i Polityki Socjalnej z dnia 14 października 2005r. w sprawie zasad bezpieczeństwa i higieny pracy przy zabezpieczeniu i usuwaniu wyrobów zawierających azbest (Dz. U. nr 216 z 2015</w:t>
      </w:r>
      <w:r w:rsidR="006738FA">
        <w:rPr>
          <w:rFonts w:ascii="Open Sans" w:hAnsi="Open Sans" w:cs="Open Sans"/>
        </w:rPr>
        <w:t xml:space="preserve"> </w:t>
      </w:r>
      <w:r w:rsidRPr="00EC4FFD">
        <w:rPr>
          <w:rFonts w:ascii="Open Sans" w:hAnsi="Open Sans" w:cs="Open Sans"/>
        </w:rPr>
        <w:t>r., poz. 1824),</w:t>
      </w:r>
    </w:p>
    <w:p w14:paraId="5782B671" w14:textId="34A2F5EB" w:rsidR="00DD1953" w:rsidRPr="00EC4FFD" w:rsidRDefault="00DD1953" w:rsidP="00EC4FFD">
      <w:pPr>
        <w:pStyle w:val="Akapitzlist"/>
        <w:numPr>
          <w:ilvl w:val="2"/>
          <w:numId w:val="24"/>
        </w:numPr>
        <w:spacing w:line="288" w:lineRule="auto"/>
        <w:ind w:left="709"/>
        <w:rPr>
          <w:rFonts w:ascii="Open Sans" w:hAnsi="Open Sans" w:cs="Open Sans"/>
        </w:rPr>
      </w:pPr>
      <w:r w:rsidRPr="00EC4FFD">
        <w:rPr>
          <w:rFonts w:ascii="Open Sans" w:hAnsi="Open Sans" w:cs="Open Sans"/>
        </w:rPr>
        <w:t xml:space="preserve">Rozporządzeniu Ministra Gospodarki z dnia 13 grudnia 2010r. w sprawie wymogów w zakresie wykorzystywania wyrobów zawierających azbest oraz </w:t>
      </w:r>
      <w:r w:rsidRPr="00EC4FFD">
        <w:rPr>
          <w:rFonts w:ascii="Open Sans" w:hAnsi="Open Sans" w:cs="Open Sans"/>
        </w:rPr>
        <w:lastRenderedPageBreak/>
        <w:t>wykorzystywania i oczyszczania instalacji lub urządzeń, w których były lub są wykorzystywane wyroby zawierające azbest (Dz. U. nr 8 z 2011r., poz. 31),</w:t>
      </w:r>
    </w:p>
    <w:p w14:paraId="4C9DEE88" w14:textId="6AC1034C" w:rsidR="00DD1953" w:rsidRPr="00EC4FFD" w:rsidRDefault="00DD1953" w:rsidP="00EC4FFD">
      <w:pPr>
        <w:pStyle w:val="Akapitzlist"/>
        <w:numPr>
          <w:ilvl w:val="2"/>
          <w:numId w:val="24"/>
        </w:numPr>
        <w:spacing w:line="288" w:lineRule="auto"/>
        <w:ind w:left="237"/>
        <w:rPr>
          <w:rFonts w:ascii="Open Sans" w:hAnsi="Open Sans" w:cs="Open Sans"/>
        </w:rPr>
      </w:pPr>
      <w:r w:rsidRPr="00EC4FFD">
        <w:rPr>
          <w:rFonts w:ascii="Open Sans" w:hAnsi="Open Sans" w:cs="Open Sans"/>
        </w:rPr>
        <w:t>Rozporządzeniu Ministra Gospodarki, Pracy i Polityki Socjalnej z dnia 23 października 2003r. w sprawie wymagań w zakresie wykorzystywania i przemieszczania azbestu oraz wykorzystywania i oczyszczania instalacji lub urządzeń, w których był lub jest wykorzystywany azbest (Dz. U. nr 192 z 2003r., poz. 1876);</w:t>
      </w:r>
    </w:p>
    <w:p w14:paraId="61D4BD4F" w14:textId="76C1F094" w:rsidR="00DD1953" w:rsidRPr="00591749" w:rsidRDefault="00DD1953" w:rsidP="00EC4FFD">
      <w:pPr>
        <w:pStyle w:val="Akapitzlist"/>
        <w:numPr>
          <w:ilvl w:val="2"/>
          <w:numId w:val="24"/>
        </w:numPr>
        <w:spacing w:line="288" w:lineRule="auto"/>
        <w:ind w:left="237"/>
        <w:rPr>
          <w:rFonts w:ascii="Open Sans" w:hAnsi="Open Sans" w:cs="Open Sans"/>
        </w:rPr>
      </w:pPr>
      <w:r w:rsidRPr="00591749">
        <w:rPr>
          <w:rFonts w:ascii="Open Sans" w:hAnsi="Open Sans" w:cs="Open Sans"/>
        </w:rPr>
        <w:t xml:space="preserve">usuwanie wilgoci oraz przyczyn jej powstawania metodami uzależnionymi od  charakteru, wielkości i miejsca zawilgocenia oraz warunków miejscowych, obejmujące m.in. takie roboty jak suszenie murów, uszczelnianie ścian murowanych </w:t>
      </w:r>
      <w:r w:rsidR="006210D4" w:rsidRPr="00591749">
        <w:rPr>
          <w:rFonts w:ascii="Open Sans" w:hAnsi="Open Sans" w:cs="Open Sans"/>
        </w:rPr>
        <w:t xml:space="preserve">(w tym ścian fundamentowych) </w:t>
      </w:r>
      <w:r w:rsidRPr="00591749">
        <w:rPr>
          <w:rFonts w:ascii="Open Sans" w:hAnsi="Open Sans" w:cs="Open Sans"/>
        </w:rPr>
        <w:t>od wilgoci kapilarnej, uszczelnianie spodu płyty dennej, odtwarzanie izolacji poziomych, wykonywanie tynków renowacyjnych i izolacji pionowych, roboty hydro izolacyjne na balkonach i loggiach oraz inne roboty związane z usuwaniem wilgoci;</w:t>
      </w:r>
    </w:p>
    <w:p w14:paraId="7FF8D2BB" w14:textId="3862D5D4" w:rsidR="00DD1953" w:rsidRPr="00ED74F7" w:rsidRDefault="00DD1953" w:rsidP="00EC4FFD">
      <w:pPr>
        <w:pStyle w:val="Akapitzlist"/>
        <w:numPr>
          <w:ilvl w:val="1"/>
          <w:numId w:val="5"/>
        </w:numPr>
        <w:spacing w:line="288" w:lineRule="auto"/>
        <w:ind w:left="426"/>
        <w:rPr>
          <w:rFonts w:ascii="Open Sans" w:hAnsi="Open Sans" w:cs="Open Sans"/>
          <w:b/>
          <w:bCs/>
        </w:rPr>
      </w:pPr>
      <w:r w:rsidRPr="00ED74F7">
        <w:rPr>
          <w:rFonts w:ascii="Open Sans" w:hAnsi="Open Sans" w:cs="Open Sans"/>
          <w:b/>
          <w:bCs/>
        </w:rPr>
        <w:t>Ściany wewnętrzne</w:t>
      </w:r>
      <w:r w:rsidR="00944D22" w:rsidRPr="00ED74F7">
        <w:rPr>
          <w:rFonts w:ascii="Open Sans" w:hAnsi="Open Sans" w:cs="Open Sans"/>
          <w:b/>
          <w:bCs/>
        </w:rPr>
        <w:t>.</w:t>
      </w:r>
    </w:p>
    <w:p w14:paraId="07B95A7B" w14:textId="1D6B6708" w:rsidR="00DD1953" w:rsidRPr="00851B65" w:rsidRDefault="00DD1953" w:rsidP="00ED74F7">
      <w:pPr>
        <w:spacing w:line="288" w:lineRule="auto"/>
        <w:rPr>
          <w:rFonts w:ascii="Open Sans" w:hAnsi="Open Sans" w:cs="Open Sans"/>
        </w:rPr>
      </w:pPr>
      <w:r w:rsidRPr="00851B65">
        <w:rPr>
          <w:rFonts w:ascii="Open Sans" w:hAnsi="Open Sans" w:cs="Open Sans"/>
        </w:rPr>
        <w:t xml:space="preserve">(pomiędzy pomieszczeniami ogrzewanymi i nieogrzewanymi, klatkami schodowymi </w:t>
      </w:r>
      <w:r w:rsidR="004752BD" w:rsidRPr="00851B65">
        <w:rPr>
          <w:rFonts w:ascii="Open Sans" w:hAnsi="Open Sans" w:cs="Open Sans"/>
        </w:rPr>
        <w:br/>
      </w:r>
      <w:r w:rsidRPr="00851B65">
        <w:rPr>
          <w:rFonts w:ascii="Open Sans" w:hAnsi="Open Sans" w:cs="Open Sans"/>
        </w:rPr>
        <w:t>lub korytarzami)</w:t>
      </w:r>
    </w:p>
    <w:p w14:paraId="6CD0CE9D" w14:textId="78E1AFC0" w:rsidR="00DD1953" w:rsidRPr="00591749" w:rsidRDefault="00DD1953" w:rsidP="00EC4FFD">
      <w:pPr>
        <w:pStyle w:val="Akapitzlist"/>
        <w:numPr>
          <w:ilvl w:val="2"/>
          <w:numId w:val="25"/>
        </w:numPr>
        <w:spacing w:line="288" w:lineRule="auto"/>
        <w:ind w:left="284"/>
        <w:rPr>
          <w:rFonts w:ascii="Open Sans" w:hAnsi="Open Sans" w:cs="Open Sans"/>
        </w:rPr>
      </w:pPr>
      <w:r w:rsidRPr="00591749">
        <w:rPr>
          <w:rFonts w:ascii="Open Sans" w:hAnsi="Open Sans" w:cs="Open Sans"/>
        </w:rPr>
        <w:t>ocieplanie ścian wewnętrznych – technologie ocieplania w wyniku, których uzyskuje się zmniejszenie strat ciepła przez przenikanie, obejmujące m.in. ściany przylegające do szczelin dylatacyjnych, ściany nieogrzewanych kondygnacji podziemnych – przylegające do gruntu, ściany wewnętrzne oddzielające pomieszczenia ogrzewane od nieogrzewanych, w tym oddzielające pomieszczenia, w których różnica temperatur jest większa niż 4 K;</w:t>
      </w:r>
    </w:p>
    <w:p w14:paraId="022C5421" w14:textId="55934E78" w:rsidR="00DC06B4" w:rsidRDefault="00DD1953" w:rsidP="00ED74F7">
      <w:pPr>
        <w:spacing w:line="288" w:lineRule="auto"/>
        <w:rPr>
          <w:rFonts w:ascii="Open Sans" w:hAnsi="Open Sans" w:cs="Open Sans"/>
        </w:rPr>
      </w:pPr>
      <w:r w:rsidRPr="00851B65">
        <w:rPr>
          <w:rFonts w:ascii="Open Sans" w:hAnsi="Open Sans" w:cs="Open Sans"/>
        </w:rPr>
        <w:t xml:space="preserve">Jeżeli w przypadku przegród wewnętrznych zachodzi taka konieczność i wynika to </w:t>
      </w:r>
      <w:r w:rsidR="004752BD" w:rsidRPr="00851B65">
        <w:rPr>
          <w:rFonts w:ascii="Open Sans" w:hAnsi="Open Sans" w:cs="Open Sans"/>
        </w:rPr>
        <w:br/>
      </w:r>
      <w:r w:rsidRPr="00851B65">
        <w:rPr>
          <w:rFonts w:ascii="Open Sans" w:hAnsi="Open Sans" w:cs="Open Sans"/>
        </w:rPr>
        <w:t xml:space="preserve">z audytu energetycznego ex-ante, do kosztów kwalifikowanych zalicza się wszelkie roboty związane z rozbiórką dotychczasowego wykończenia lub konstrukcji, w tym </w:t>
      </w:r>
      <w:r w:rsidR="004752BD" w:rsidRPr="00851B65">
        <w:rPr>
          <w:rFonts w:ascii="Open Sans" w:hAnsi="Open Sans" w:cs="Open Sans"/>
        </w:rPr>
        <w:br/>
      </w:r>
      <w:r w:rsidRPr="00851B65">
        <w:rPr>
          <w:rFonts w:ascii="Open Sans" w:hAnsi="Open Sans" w:cs="Open Sans"/>
        </w:rPr>
        <w:t xml:space="preserve">w szczególności rozbiórka elementów zawierających w swym składzie azbest. Roboty te są kwalifikowane wyłącznie, jeżeli są prowadzone zgodnie z </w:t>
      </w:r>
      <w:r w:rsidR="006210D4" w:rsidRPr="00851B65">
        <w:rPr>
          <w:rFonts w:ascii="Open Sans" w:hAnsi="Open Sans" w:cs="Open Sans"/>
        </w:rPr>
        <w:t xml:space="preserve">obowiązującymi </w:t>
      </w:r>
      <w:r w:rsidRPr="00851B65">
        <w:rPr>
          <w:rFonts w:ascii="Open Sans" w:hAnsi="Open Sans" w:cs="Open Sans"/>
        </w:rPr>
        <w:t>przepisami</w:t>
      </w:r>
      <w:r w:rsidR="006210D4" w:rsidRPr="00851B65">
        <w:rPr>
          <w:rFonts w:ascii="Open Sans" w:hAnsi="Open Sans" w:cs="Open Sans"/>
        </w:rPr>
        <w:t xml:space="preserve"> prawa budowlanego</w:t>
      </w:r>
      <w:r w:rsidR="00C30B04" w:rsidRPr="00851B65">
        <w:rPr>
          <w:rStyle w:val="Odwoanieprzypisudolnego"/>
          <w:rFonts w:ascii="Open Sans" w:hAnsi="Open Sans" w:cs="Open Sans"/>
        </w:rPr>
        <w:footnoteReference w:id="2"/>
      </w:r>
      <w:r w:rsidR="006210D4" w:rsidRPr="00851B65">
        <w:rPr>
          <w:rFonts w:ascii="Open Sans" w:hAnsi="Open Sans" w:cs="Open Sans"/>
        </w:rPr>
        <w:t>.</w:t>
      </w:r>
    </w:p>
    <w:p w14:paraId="71BD3965" w14:textId="25952DCD" w:rsidR="00DD1953" w:rsidRPr="00ED74F7" w:rsidRDefault="00DD1953" w:rsidP="00EC4FFD">
      <w:pPr>
        <w:pStyle w:val="Akapitzlist"/>
        <w:numPr>
          <w:ilvl w:val="1"/>
          <w:numId w:val="5"/>
        </w:numPr>
        <w:spacing w:line="288" w:lineRule="auto"/>
        <w:ind w:left="426"/>
        <w:rPr>
          <w:rFonts w:ascii="Open Sans" w:hAnsi="Open Sans" w:cs="Open Sans"/>
          <w:b/>
          <w:bCs/>
        </w:rPr>
      </w:pPr>
      <w:r w:rsidRPr="00ED74F7">
        <w:rPr>
          <w:rFonts w:ascii="Open Sans" w:hAnsi="Open Sans" w:cs="Open Sans"/>
          <w:b/>
          <w:bCs/>
        </w:rPr>
        <w:t>Stropy</w:t>
      </w:r>
      <w:r w:rsidR="00944D22" w:rsidRPr="00ED74F7">
        <w:rPr>
          <w:rFonts w:ascii="Open Sans" w:hAnsi="Open Sans" w:cs="Open Sans"/>
          <w:b/>
          <w:bCs/>
        </w:rPr>
        <w:t>, dachy, stropodachy</w:t>
      </w:r>
      <w:r w:rsidR="006210D4" w:rsidRPr="00ED74F7">
        <w:rPr>
          <w:rFonts w:ascii="Open Sans" w:hAnsi="Open Sans" w:cs="Open Sans"/>
          <w:b/>
          <w:bCs/>
        </w:rPr>
        <w:t>, podłogi na gruncie itp</w:t>
      </w:r>
      <w:r w:rsidR="00944D22" w:rsidRPr="00ED74F7">
        <w:rPr>
          <w:rFonts w:ascii="Open Sans" w:hAnsi="Open Sans" w:cs="Open Sans"/>
          <w:b/>
          <w:bCs/>
        </w:rPr>
        <w:t>.</w:t>
      </w:r>
    </w:p>
    <w:p w14:paraId="034FC1DE" w14:textId="3E4767D3"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lastRenderedPageBreak/>
        <w:t xml:space="preserve">dach i stropodach –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w tym również obejmujące technologie, polegające na tworzeniu tzw. „zielonych dachów”. Roboty mogą obejmować wymianę konstrukcji dachów lub stropodachów, jeżeli będzie taka konieczność i będzie to wynikać z audytu energetycznego ex-ante;</w:t>
      </w:r>
    </w:p>
    <w:p w14:paraId="25CD23F6" w14:textId="4AAF769D"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W ramach robót związanych z modernizacją dachów i stropodachów, do kosztów kwalifikowanych zalicza się wszelkie roboty związane z rozbiórką dotychczasowego pokrycia dachu (jeżeli wynika to z audytu energetycznego ex-ante), w tym </w:t>
      </w:r>
      <w:r w:rsidR="004752BD" w:rsidRPr="00591749">
        <w:rPr>
          <w:rFonts w:ascii="Open Sans" w:hAnsi="Open Sans" w:cs="Open Sans"/>
        </w:rPr>
        <w:br/>
      </w:r>
      <w:r w:rsidRPr="00591749">
        <w:rPr>
          <w:rFonts w:ascii="Open Sans" w:hAnsi="Open Sans" w:cs="Open Sans"/>
        </w:rPr>
        <w:t xml:space="preserve">w szczególności rozbiórka pokryć zawierających w swym składzie azbest (np. tzw. eternit, chryzotyl – tzw. azbest biały, krokidolit – tzw. azbest niebieski, </w:t>
      </w:r>
      <w:proofErr w:type="spellStart"/>
      <w:r w:rsidRPr="00591749">
        <w:rPr>
          <w:rFonts w:ascii="Open Sans" w:hAnsi="Open Sans" w:cs="Open Sans"/>
        </w:rPr>
        <w:t>amozyt</w:t>
      </w:r>
      <w:proofErr w:type="spellEnd"/>
      <w:r w:rsidRPr="00591749">
        <w:rPr>
          <w:rFonts w:ascii="Open Sans" w:hAnsi="Open Sans" w:cs="Open Sans"/>
        </w:rPr>
        <w:t xml:space="preserve"> – tzw. azbest brązowy lub inne), jak również koszty transportu i utylizacji. Roboty te są kwalifikowane wyłącznie, jeżeli są prowadzone zgodnie z </w:t>
      </w:r>
      <w:r w:rsidR="006210D4" w:rsidRPr="00591749">
        <w:rPr>
          <w:rFonts w:ascii="Open Sans" w:hAnsi="Open Sans" w:cs="Open Sans"/>
        </w:rPr>
        <w:t>obowiązującymi przepisami prawa budowlanego</w:t>
      </w:r>
      <w:r w:rsidRPr="00591749">
        <w:rPr>
          <w:rFonts w:ascii="Open Sans" w:hAnsi="Open Sans" w:cs="Open Sans"/>
        </w:rPr>
        <w:t>, regulującymi ten rodzaj robót;</w:t>
      </w:r>
    </w:p>
    <w:p w14:paraId="49E964B1" w14:textId="2087BADA"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strop pod nieogrzewanym poddaszem – ocieplanie stropu poddasza,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Roboty mogą obejmować wymianę stropu, jeżeli zachodzi taka konieczność;</w:t>
      </w:r>
    </w:p>
    <w:p w14:paraId="19C8C05B" w14:textId="75FB82EF"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strop nad piwnicą – ocieplanie stropu nad piwnicą - technologie ocieplania, w wyniku których uzyskuje się zmniejszenie strat ciepła przez przenikanie, prowadzące </w:t>
      </w:r>
      <w:r w:rsidR="004752BD" w:rsidRPr="00591749">
        <w:rPr>
          <w:rFonts w:ascii="Open Sans" w:hAnsi="Open Sans" w:cs="Open Sans"/>
        </w:rPr>
        <w:br/>
      </w:r>
      <w:r w:rsidRPr="00591749">
        <w:rPr>
          <w:rFonts w:ascii="Open Sans" w:hAnsi="Open Sans" w:cs="Open Sans"/>
        </w:rPr>
        <w:t xml:space="preserve">do uzyskania odpowiednich współczynników przenikania ciepła, zgodnych </w:t>
      </w:r>
      <w:r w:rsidR="004752BD" w:rsidRPr="00591749">
        <w:rPr>
          <w:rFonts w:ascii="Open Sans" w:hAnsi="Open Sans" w:cs="Open Sans"/>
        </w:rPr>
        <w:br/>
      </w:r>
      <w:r w:rsidRPr="00591749">
        <w:rPr>
          <w:rFonts w:ascii="Open Sans" w:hAnsi="Open Sans" w:cs="Open Sans"/>
        </w:rPr>
        <w:t xml:space="preserve">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Roboty mogą obejmować wymianę stropu, jeżeli wynika to z audytu ex-ante;</w:t>
      </w:r>
    </w:p>
    <w:p w14:paraId="458825AB" w14:textId="7C0BADC9" w:rsidR="00DD1953" w:rsidRPr="00591749" w:rsidRDefault="00944D22"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p</w:t>
      </w:r>
      <w:r w:rsidR="00DD1953" w:rsidRPr="00591749">
        <w:rPr>
          <w:rFonts w:ascii="Open Sans" w:hAnsi="Open Sans" w:cs="Open Sans"/>
        </w:rPr>
        <w:t xml:space="preserve">odłoga na gruncie – ocieplanie podłogi na gruncie - technologie ocieplania, w wyniku których uzyskuje się zmniejszenie strat ciepła przez przenikanie, prowadzące </w:t>
      </w:r>
      <w:r w:rsidR="004752BD" w:rsidRPr="00591749">
        <w:rPr>
          <w:rFonts w:ascii="Open Sans" w:hAnsi="Open Sans" w:cs="Open Sans"/>
        </w:rPr>
        <w:br/>
      </w:r>
      <w:r w:rsidR="00DD1953" w:rsidRPr="00591749">
        <w:rPr>
          <w:rFonts w:ascii="Open Sans" w:hAnsi="Open Sans" w:cs="Open Sans"/>
        </w:rPr>
        <w:t xml:space="preserve">do uzyskania odpowiednich współczynników przenikania ciepła, zgodnych </w:t>
      </w:r>
      <w:r w:rsidR="004752BD" w:rsidRPr="00591749">
        <w:rPr>
          <w:rFonts w:ascii="Open Sans" w:hAnsi="Open Sans" w:cs="Open Sans"/>
        </w:rPr>
        <w:br/>
      </w:r>
      <w:r w:rsidR="00DD1953" w:rsidRPr="00591749">
        <w:rPr>
          <w:rFonts w:ascii="Open Sans" w:hAnsi="Open Sans" w:cs="Open Sans"/>
        </w:rPr>
        <w:t xml:space="preserve">z obowiązującymi przepisami </w:t>
      </w:r>
      <w:proofErr w:type="spellStart"/>
      <w:r w:rsidR="00DD1953" w:rsidRPr="00591749">
        <w:rPr>
          <w:rFonts w:ascii="Open Sans" w:hAnsi="Open Sans" w:cs="Open Sans"/>
        </w:rPr>
        <w:t>techniczno</w:t>
      </w:r>
      <w:proofErr w:type="spellEnd"/>
      <w:r w:rsidR="00DD1953" w:rsidRPr="00591749">
        <w:rPr>
          <w:rFonts w:ascii="Open Sans" w:hAnsi="Open Sans" w:cs="Open Sans"/>
        </w:rPr>
        <w:t xml:space="preserve"> – budowlanymi Roboty mogą obejmować wymianę podłogi na gruncie, jeżeli wynika z audytu ex-ante, pod warunkiem sfinansowania kosztów podłogi o standardzie nie wyższym, niż przed ociepleniem;</w:t>
      </w:r>
    </w:p>
    <w:p w14:paraId="1319FD52" w14:textId="38E30976"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stropy nad przejazdami – ocieplanie stropów nad przejazdami,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w:t>
      </w:r>
      <w:r w:rsidR="006210D4" w:rsidRPr="00591749">
        <w:rPr>
          <w:rFonts w:ascii="Open Sans" w:hAnsi="Open Sans" w:cs="Open Sans"/>
        </w:rPr>
        <w:t>.</w:t>
      </w:r>
      <w:r w:rsidRPr="00591749">
        <w:rPr>
          <w:rFonts w:ascii="Open Sans" w:hAnsi="Open Sans" w:cs="Open Sans"/>
        </w:rPr>
        <w:t xml:space="preserve"> </w:t>
      </w:r>
      <w:r w:rsidR="006210D4" w:rsidRPr="00591749">
        <w:rPr>
          <w:rFonts w:ascii="Open Sans" w:hAnsi="Open Sans" w:cs="Open Sans"/>
        </w:rPr>
        <w:t>Roboty</w:t>
      </w:r>
      <w:r w:rsidRPr="00591749">
        <w:rPr>
          <w:rFonts w:ascii="Open Sans" w:hAnsi="Open Sans" w:cs="Open Sans"/>
        </w:rPr>
        <w:t xml:space="preserve"> mogą obejmować </w:t>
      </w:r>
      <w:r w:rsidR="006210D4" w:rsidRPr="00591749">
        <w:rPr>
          <w:rFonts w:ascii="Open Sans" w:hAnsi="Open Sans" w:cs="Open Sans"/>
        </w:rPr>
        <w:t xml:space="preserve">również </w:t>
      </w:r>
      <w:r w:rsidRPr="00591749">
        <w:rPr>
          <w:rFonts w:ascii="Open Sans" w:hAnsi="Open Sans" w:cs="Open Sans"/>
        </w:rPr>
        <w:t>wymianę stropu, jeżeli zachodzi taka konieczność;</w:t>
      </w:r>
    </w:p>
    <w:p w14:paraId="6717F15A" w14:textId="3819737A"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lastRenderedPageBreak/>
        <w:t xml:space="preserve">stropy nad zamkniętymi przestrzeniami podpodłogowymi – ocieplanie stropów nad zamkniętymi przestrzeniami podpodłogowymi,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w:t>
      </w:r>
      <w:r w:rsidR="00C30B04" w:rsidRPr="00851B65">
        <w:rPr>
          <w:rStyle w:val="Odwoanieprzypisudolnego"/>
          <w:rFonts w:ascii="Open Sans" w:hAnsi="Open Sans" w:cs="Open Sans"/>
        </w:rPr>
        <w:footnoteReference w:id="3"/>
      </w:r>
      <w:r w:rsidR="00C30B04" w:rsidRPr="00591749">
        <w:rPr>
          <w:rFonts w:ascii="Open Sans" w:hAnsi="Open Sans" w:cs="Open Sans"/>
        </w:rPr>
        <w:t>.</w:t>
      </w:r>
      <w:r w:rsidRPr="00591749">
        <w:rPr>
          <w:rFonts w:ascii="Open Sans" w:hAnsi="Open Sans" w:cs="Open Sans"/>
        </w:rPr>
        <w:t xml:space="preserve">  Roboty mogą obejmować wymianę stropu, jeżeli zachodzi taka konieczność;</w:t>
      </w:r>
    </w:p>
    <w:p w14:paraId="1C92FD3D" w14:textId="3382FA0A"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stropy na gruncie – ocieplanie stropów na gruncie,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Roboty mogą obejmować wymianę stropu, jeżeli zachodzi taka konieczność;</w:t>
      </w:r>
    </w:p>
    <w:p w14:paraId="4E09C415" w14:textId="61D89C20"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 xml:space="preserve">stropy nad kondygnacjami podziemnymi – ocieplanie stropów nad kondygnacjami podziemnymi, technologie ocieplania, w wyniku których uzyskuje się zmniejszenie strat ciepła przez przenikanie, prowadzące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Roboty mogą obejmować wymianę stropu, jeżeli zachodzi taka konieczność;</w:t>
      </w:r>
    </w:p>
    <w:p w14:paraId="7CECC01C" w14:textId="0A876037"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izolacje transparentne , pod warunkiem, że wynika to z audytu energetycznego ex-ante;</w:t>
      </w:r>
    </w:p>
    <w:p w14:paraId="2192DBBF" w14:textId="695C4D6A" w:rsidR="00DD1953" w:rsidRPr="00591749" w:rsidRDefault="00DD1953" w:rsidP="00EC4FFD">
      <w:pPr>
        <w:pStyle w:val="Akapitzlist"/>
        <w:numPr>
          <w:ilvl w:val="2"/>
          <w:numId w:val="26"/>
        </w:numPr>
        <w:spacing w:line="288" w:lineRule="auto"/>
        <w:ind w:left="284"/>
        <w:rPr>
          <w:rFonts w:ascii="Open Sans" w:hAnsi="Open Sans" w:cs="Open Sans"/>
        </w:rPr>
      </w:pPr>
      <w:r w:rsidRPr="00591749">
        <w:rPr>
          <w:rFonts w:ascii="Open Sans" w:hAnsi="Open Sans" w:cs="Open Sans"/>
        </w:rPr>
        <w:t>uszczelnianie zielonych dachów.</w:t>
      </w:r>
    </w:p>
    <w:p w14:paraId="4DB7AF24" w14:textId="75FFD8FA" w:rsidR="00DD1953" w:rsidRPr="00ED74F7" w:rsidRDefault="00DD1953" w:rsidP="00EC4FFD">
      <w:pPr>
        <w:pStyle w:val="Akapitzlist"/>
        <w:numPr>
          <w:ilvl w:val="1"/>
          <w:numId w:val="5"/>
        </w:numPr>
        <w:spacing w:line="288" w:lineRule="auto"/>
        <w:ind w:left="426"/>
        <w:rPr>
          <w:rFonts w:ascii="Open Sans" w:hAnsi="Open Sans" w:cs="Open Sans"/>
          <w:b/>
          <w:bCs/>
        </w:rPr>
      </w:pPr>
      <w:r w:rsidRPr="00ED74F7">
        <w:rPr>
          <w:rFonts w:ascii="Open Sans" w:hAnsi="Open Sans" w:cs="Open Sans"/>
          <w:b/>
          <w:bCs/>
        </w:rPr>
        <w:t>Stolarka okienna i drzwiowa, przegrody przezroczyste</w:t>
      </w:r>
      <w:r w:rsidR="00944D22" w:rsidRPr="00ED74F7">
        <w:rPr>
          <w:rFonts w:ascii="Open Sans" w:hAnsi="Open Sans" w:cs="Open Sans"/>
          <w:b/>
          <w:bCs/>
        </w:rPr>
        <w:t>.</w:t>
      </w:r>
    </w:p>
    <w:p w14:paraId="1AC6C422" w14:textId="6B314817" w:rsidR="00DD1953" w:rsidRPr="00591749" w:rsidRDefault="00DD1953" w:rsidP="00EC4FFD">
      <w:pPr>
        <w:pStyle w:val="Akapitzlist"/>
        <w:numPr>
          <w:ilvl w:val="2"/>
          <w:numId w:val="27"/>
        </w:numPr>
        <w:spacing w:line="288" w:lineRule="auto"/>
        <w:ind w:left="284"/>
        <w:rPr>
          <w:rFonts w:ascii="Open Sans" w:hAnsi="Open Sans" w:cs="Open Sans"/>
        </w:rPr>
      </w:pPr>
      <w:r w:rsidRPr="00591749">
        <w:rPr>
          <w:rFonts w:ascii="Open Sans" w:hAnsi="Open Sans" w:cs="Open Sans"/>
        </w:rPr>
        <w:t xml:space="preserve">wymiana okien i drzwi zewnętrznych wejściowych na nowe – wymiana powinna prowadzić do uzyskania odpowiednich współczynników przenikania ciepła, zgodnych </w:t>
      </w:r>
      <w:r w:rsidR="004752BD" w:rsidRPr="00591749">
        <w:rPr>
          <w:rFonts w:ascii="Open Sans" w:hAnsi="Open Sans" w:cs="Open Sans"/>
        </w:rPr>
        <w:br/>
      </w:r>
      <w:r w:rsidRPr="00591749">
        <w:rPr>
          <w:rFonts w:ascii="Open Sans" w:hAnsi="Open Sans" w:cs="Open Sans"/>
        </w:rPr>
        <w:t xml:space="preserve">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oraz odpowiedniej szczelności Roboty mogą obejmować wymianę okien i drzwi wewnętrznych, jeżeli zachodzi taka konieczność (oraz jeżeli wynika to z audytu energetycznego ex-ante), </w:t>
      </w:r>
      <w:r w:rsidR="006738FA">
        <w:rPr>
          <w:rFonts w:ascii="Open Sans" w:hAnsi="Open Sans" w:cs="Open Sans"/>
        </w:rPr>
        <w:br/>
      </w:r>
      <w:r w:rsidRPr="00591749">
        <w:rPr>
          <w:rFonts w:ascii="Open Sans" w:hAnsi="Open Sans" w:cs="Open Sans"/>
        </w:rPr>
        <w:t>w tym oddzielających pomieszczenia ogrzewane od nieogrzewanych;</w:t>
      </w:r>
    </w:p>
    <w:p w14:paraId="565F0DD6" w14:textId="244B3482" w:rsidR="00DD1953" w:rsidRPr="00591749" w:rsidRDefault="00DD1953" w:rsidP="00EC4FFD">
      <w:pPr>
        <w:pStyle w:val="Akapitzlist"/>
        <w:numPr>
          <w:ilvl w:val="2"/>
          <w:numId w:val="27"/>
        </w:numPr>
        <w:spacing w:line="288" w:lineRule="auto"/>
        <w:ind w:left="284"/>
        <w:rPr>
          <w:rFonts w:ascii="Open Sans" w:hAnsi="Open Sans" w:cs="Open Sans"/>
        </w:rPr>
      </w:pPr>
      <w:r w:rsidRPr="00591749">
        <w:rPr>
          <w:rFonts w:ascii="Open Sans" w:hAnsi="Open Sans" w:cs="Open Sans"/>
        </w:rPr>
        <w:t xml:space="preserve">wymiana okien i drzwi balkonowych - powinna prowadzić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oraz do odpowiedniej szczelności.</w:t>
      </w:r>
    </w:p>
    <w:p w14:paraId="59E647E1" w14:textId="539C147F" w:rsidR="00DD1953" w:rsidRPr="00591749" w:rsidRDefault="00DD1953" w:rsidP="00EC4FFD">
      <w:pPr>
        <w:pStyle w:val="Akapitzlist"/>
        <w:numPr>
          <w:ilvl w:val="2"/>
          <w:numId w:val="27"/>
        </w:numPr>
        <w:spacing w:line="288" w:lineRule="auto"/>
        <w:ind w:left="284"/>
        <w:rPr>
          <w:rFonts w:ascii="Open Sans" w:hAnsi="Open Sans" w:cs="Open Sans"/>
          <w:i/>
          <w:iCs/>
        </w:rPr>
      </w:pPr>
      <w:r w:rsidRPr="00591749">
        <w:rPr>
          <w:rFonts w:ascii="Open Sans" w:hAnsi="Open Sans" w:cs="Open Sans"/>
          <w:i/>
          <w:iCs/>
        </w:rPr>
        <w:t xml:space="preserve">Zaleca się realizację powyższych prac z zastosowaniem tzw. ciepłego montażu okien, który pozwala na to, by okna energooszczędne zachowały swoje walory izolacyjne, czyli były </w:t>
      </w:r>
      <w:r w:rsidRPr="00591749">
        <w:rPr>
          <w:rFonts w:ascii="Open Sans" w:hAnsi="Open Sans" w:cs="Open Sans"/>
          <w:i/>
          <w:iCs/>
        </w:rPr>
        <w:lastRenderedPageBreak/>
        <w:t>szczelnie zamontowane. Jedynie osadzenie okna w warstwie ocieplenia eliminuje mostki termiczne, które wokół niego mogą powstawać.</w:t>
      </w:r>
      <w:r w:rsidR="000D0903" w:rsidRPr="00591749">
        <w:rPr>
          <w:rFonts w:ascii="Open Sans" w:hAnsi="Open Sans" w:cs="Open Sans"/>
          <w:i/>
          <w:iCs/>
        </w:rPr>
        <w:t xml:space="preserve"> </w:t>
      </w:r>
      <w:r w:rsidRPr="00591749">
        <w:rPr>
          <w:rFonts w:ascii="Open Sans" w:hAnsi="Open Sans" w:cs="Open Sans"/>
          <w:i/>
          <w:iCs/>
        </w:rPr>
        <w:t xml:space="preserve">Wymiana lub modernizacja okien i drzwi balkonowych </w:t>
      </w:r>
      <w:r w:rsidR="00C30B04" w:rsidRPr="00591749">
        <w:rPr>
          <w:rFonts w:ascii="Open Sans" w:hAnsi="Open Sans" w:cs="Open Sans"/>
          <w:i/>
          <w:iCs/>
        </w:rPr>
        <w:t>powinna spełniać</w:t>
      </w:r>
      <w:r w:rsidRPr="00591749">
        <w:rPr>
          <w:rFonts w:ascii="Open Sans" w:hAnsi="Open Sans" w:cs="Open Sans"/>
          <w:i/>
          <w:iCs/>
        </w:rPr>
        <w:t xml:space="preserve"> wymagania Rozporządzeni</w:t>
      </w:r>
      <w:r w:rsidR="00C30B04" w:rsidRPr="00591749">
        <w:rPr>
          <w:rFonts w:ascii="Open Sans" w:hAnsi="Open Sans" w:cs="Open Sans"/>
          <w:i/>
          <w:iCs/>
        </w:rPr>
        <w:t>a</w:t>
      </w:r>
      <w:r w:rsidRPr="00591749">
        <w:rPr>
          <w:rFonts w:ascii="Open Sans" w:hAnsi="Open Sans" w:cs="Open Sans"/>
          <w:i/>
          <w:iCs/>
        </w:rPr>
        <w:t xml:space="preserve"> Ministra Infrastruktury z dnia 12 kwietnia 2002</w:t>
      </w:r>
      <w:r w:rsidR="00C30B04" w:rsidRPr="00591749">
        <w:rPr>
          <w:rFonts w:ascii="Open Sans" w:hAnsi="Open Sans" w:cs="Open Sans"/>
          <w:i/>
          <w:iCs/>
        </w:rPr>
        <w:t xml:space="preserve"> </w:t>
      </w:r>
      <w:r w:rsidRPr="00591749">
        <w:rPr>
          <w:rFonts w:ascii="Open Sans" w:hAnsi="Open Sans" w:cs="Open Sans"/>
          <w:i/>
          <w:iCs/>
        </w:rPr>
        <w:t>r. oraz polskich norm (</w:t>
      </w:r>
      <w:r w:rsidR="00C30B04" w:rsidRPr="00591749">
        <w:rPr>
          <w:rFonts w:ascii="Open Sans" w:hAnsi="Open Sans" w:cs="Open Sans"/>
          <w:i/>
          <w:iCs/>
        </w:rPr>
        <w:t xml:space="preserve">zaleca się szczególną uwagę jeśli chodzi </w:t>
      </w:r>
      <w:r w:rsidRPr="00591749">
        <w:rPr>
          <w:rFonts w:ascii="Open Sans" w:hAnsi="Open Sans" w:cs="Open Sans"/>
          <w:i/>
          <w:iCs/>
        </w:rPr>
        <w:t>o zachowanie warunków termicznych</w:t>
      </w:r>
      <w:r w:rsidR="00C30B04" w:rsidRPr="00591749">
        <w:rPr>
          <w:rFonts w:ascii="Open Sans" w:hAnsi="Open Sans" w:cs="Open Sans"/>
          <w:i/>
          <w:iCs/>
        </w:rPr>
        <w:t xml:space="preserve"> mocowania oraz</w:t>
      </w:r>
      <w:r w:rsidRPr="00591749">
        <w:rPr>
          <w:rFonts w:ascii="Open Sans" w:hAnsi="Open Sans" w:cs="Open Sans"/>
          <w:i/>
          <w:iCs/>
        </w:rPr>
        <w:t xml:space="preserve"> szczelności) – </w:t>
      </w:r>
      <w:r w:rsidR="00C30B04" w:rsidRPr="00591749">
        <w:rPr>
          <w:rFonts w:ascii="Open Sans" w:hAnsi="Open Sans" w:cs="Open Sans"/>
          <w:i/>
          <w:iCs/>
        </w:rPr>
        <w:t xml:space="preserve">co winno mieć </w:t>
      </w:r>
      <w:r w:rsidRPr="00591749">
        <w:rPr>
          <w:rFonts w:ascii="Open Sans" w:hAnsi="Open Sans" w:cs="Open Sans"/>
          <w:i/>
          <w:iCs/>
        </w:rPr>
        <w:t>odzwierciedlenie w protokole odbioru.</w:t>
      </w:r>
    </w:p>
    <w:p w14:paraId="78CEC8C6" w14:textId="71F118A6" w:rsidR="00DD1953" w:rsidRPr="00591749" w:rsidRDefault="00DD1953" w:rsidP="00EC4FFD">
      <w:pPr>
        <w:pStyle w:val="Akapitzlist"/>
        <w:numPr>
          <w:ilvl w:val="2"/>
          <w:numId w:val="27"/>
        </w:numPr>
        <w:spacing w:line="288" w:lineRule="auto"/>
        <w:ind w:left="284"/>
        <w:rPr>
          <w:rFonts w:ascii="Open Sans" w:hAnsi="Open Sans" w:cs="Open Sans"/>
        </w:rPr>
      </w:pPr>
      <w:r w:rsidRPr="00591749">
        <w:rPr>
          <w:rFonts w:ascii="Open Sans" w:hAnsi="Open Sans" w:cs="Open Sans"/>
        </w:rPr>
        <w:t xml:space="preserve">modernizacja starych okien i drzwi zewnętrznych – modernizacja polegać może na odpowiednim spasowaniu, zastosowaniu lub wymianie uszczelek i okuć, uszczelnieniu drzwi, co powinno prowadzić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oraz odpowiedniej szczelności. Roboty mogą obejmować modernizację okien i drzwi wewnętrznych, jeżeli zachodzi taka konieczność, w tym oddzielających pomieszczenia ogrzewane od nieogrzewanych;</w:t>
      </w:r>
    </w:p>
    <w:p w14:paraId="102CD2DA" w14:textId="74B91E73" w:rsidR="00944D22" w:rsidRPr="00591749" w:rsidRDefault="00DD1953" w:rsidP="00EC4FFD">
      <w:pPr>
        <w:pStyle w:val="Akapitzlist"/>
        <w:numPr>
          <w:ilvl w:val="2"/>
          <w:numId w:val="27"/>
        </w:numPr>
        <w:spacing w:line="288" w:lineRule="auto"/>
        <w:ind w:left="284"/>
        <w:rPr>
          <w:rFonts w:ascii="Open Sans" w:hAnsi="Open Sans" w:cs="Open Sans"/>
        </w:rPr>
      </w:pPr>
      <w:r w:rsidRPr="00591749">
        <w:rPr>
          <w:rFonts w:ascii="Open Sans" w:hAnsi="Open Sans" w:cs="Open Sans"/>
        </w:rPr>
        <w:t xml:space="preserve">wymiana lub modernizacja okien piwnicznych i poddaszy – wymiana lub modernizacja powinna prowadzić do uzyskania odpowiednich współczynników przenikania ciepła, zgodnych z obowiązującymi przepisami </w:t>
      </w:r>
      <w:proofErr w:type="spellStart"/>
      <w:r w:rsidRPr="00591749">
        <w:rPr>
          <w:rFonts w:ascii="Open Sans" w:hAnsi="Open Sans" w:cs="Open Sans"/>
        </w:rPr>
        <w:t>techniczno</w:t>
      </w:r>
      <w:proofErr w:type="spellEnd"/>
      <w:r w:rsidRPr="00591749">
        <w:rPr>
          <w:rFonts w:ascii="Open Sans" w:hAnsi="Open Sans" w:cs="Open Sans"/>
        </w:rPr>
        <w:t xml:space="preserve"> – budowlanymi oraz odpowiedniej szczelności;</w:t>
      </w:r>
    </w:p>
    <w:p w14:paraId="45136F3E" w14:textId="23B3946A" w:rsidR="00DD1953" w:rsidRPr="00591749" w:rsidRDefault="00DD1953" w:rsidP="00EC4FFD">
      <w:pPr>
        <w:pStyle w:val="Akapitzlist"/>
        <w:numPr>
          <w:ilvl w:val="2"/>
          <w:numId w:val="27"/>
        </w:numPr>
        <w:spacing w:line="288" w:lineRule="auto"/>
        <w:ind w:left="284"/>
        <w:rPr>
          <w:rFonts w:ascii="Open Sans" w:hAnsi="Open Sans" w:cs="Open Sans"/>
        </w:rPr>
      </w:pPr>
      <w:r w:rsidRPr="00591749">
        <w:rPr>
          <w:rFonts w:ascii="Open Sans" w:hAnsi="Open Sans" w:cs="Open Sans"/>
        </w:rPr>
        <w:t>wymiana pozostałych przegród przezroczystych (fasady przeszklone, świetliki, atria, ogrody zimowe);</w:t>
      </w:r>
    </w:p>
    <w:p w14:paraId="159F7B09" w14:textId="3BC9D754" w:rsidR="00DD1953" w:rsidRPr="00851B65" w:rsidRDefault="00DD1953" w:rsidP="00ED74F7">
      <w:pPr>
        <w:spacing w:line="288" w:lineRule="auto"/>
        <w:rPr>
          <w:rFonts w:ascii="Open Sans" w:hAnsi="Open Sans" w:cs="Open Sans"/>
          <w:i/>
          <w:iCs/>
        </w:rPr>
      </w:pPr>
      <w:r w:rsidRPr="00851B65">
        <w:rPr>
          <w:rFonts w:ascii="Open Sans" w:hAnsi="Open Sans" w:cs="Open Sans"/>
          <w:i/>
          <w:iCs/>
        </w:rPr>
        <w:t xml:space="preserve">W wyniku wszelkich prac związanych z oszczędnością energii (w szczególności związanych </w:t>
      </w:r>
      <w:r w:rsidR="004752BD" w:rsidRPr="00851B65">
        <w:rPr>
          <w:rFonts w:ascii="Open Sans" w:hAnsi="Open Sans" w:cs="Open Sans"/>
          <w:i/>
          <w:iCs/>
        </w:rPr>
        <w:br/>
      </w:r>
      <w:r w:rsidRPr="00851B65">
        <w:rPr>
          <w:rFonts w:ascii="Open Sans" w:hAnsi="Open Sans" w:cs="Open Sans"/>
          <w:i/>
          <w:iCs/>
        </w:rPr>
        <w:t xml:space="preserve">z przegrodami, stanowiącymi osłonę bilansową budynku oraz ze stolarką okienną </w:t>
      </w:r>
      <w:r w:rsidR="004752BD" w:rsidRPr="00851B65">
        <w:rPr>
          <w:rFonts w:ascii="Open Sans" w:hAnsi="Open Sans" w:cs="Open Sans"/>
          <w:i/>
          <w:iCs/>
        </w:rPr>
        <w:br/>
      </w:r>
      <w:r w:rsidRPr="00851B65">
        <w:rPr>
          <w:rFonts w:ascii="Open Sans" w:hAnsi="Open Sans" w:cs="Open Sans"/>
          <w:i/>
          <w:iCs/>
        </w:rPr>
        <w:t xml:space="preserve">i drzwiową), należy uzyskać szczelność budynku zgodnie z wymaganiami określonymi </w:t>
      </w:r>
      <w:r w:rsidR="004752BD" w:rsidRPr="00851B65">
        <w:rPr>
          <w:rFonts w:ascii="Open Sans" w:hAnsi="Open Sans" w:cs="Open Sans"/>
          <w:i/>
          <w:iCs/>
        </w:rPr>
        <w:br/>
      </w:r>
      <w:r w:rsidRPr="00851B65">
        <w:rPr>
          <w:rFonts w:ascii="Open Sans" w:hAnsi="Open Sans" w:cs="Open Sans"/>
          <w:i/>
          <w:iCs/>
        </w:rPr>
        <w:t xml:space="preserve">w Rozporządzeniu Ministra Infrastruktury z dnia 12 kwietnia 2002 r. w sprawie warunków technicznych, jakim powinny odpowiadać budynki i ich usytuowanie z </w:t>
      </w:r>
      <w:proofErr w:type="spellStart"/>
      <w:r w:rsidRPr="00851B65">
        <w:rPr>
          <w:rFonts w:ascii="Open Sans" w:hAnsi="Open Sans" w:cs="Open Sans"/>
          <w:i/>
          <w:iCs/>
        </w:rPr>
        <w:t>późn</w:t>
      </w:r>
      <w:proofErr w:type="spellEnd"/>
      <w:r w:rsidRPr="00851B65">
        <w:rPr>
          <w:rFonts w:ascii="Open Sans" w:hAnsi="Open Sans" w:cs="Open Sans"/>
          <w:i/>
          <w:iCs/>
        </w:rPr>
        <w:t xml:space="preserve">. zmianami. </w:t>
      </w:r>
      <w:r w:rsidR="004752BD" w:rsidRPr="00851B65">
        <w:rPr>
          <w:rFonts w:ascii="Open Sans" w:hAnsi="Open Sans" w:cs="Open Sans"/>
          <w:i/>
          <w:iCs/>
        </w:rPr>
        <w:br/>
      </w:r>
      <w:r w:rsidRPr="00851B65">
        <w:rPr>
          <w:rFonts w:ascii="Open Sans" w:hAnsi="Open Sans" w:cs="Open Sans"/>
          <w:i/>
          <w:iCs/>
        </w:rPr>
        <w:t xml:space="preserve">W celu potwierdzenia jakości wykonania ww. prac, po ich wykonaniu budynek może być poddany próbie szczelności, przeprowadzonej zgodnie z Polską Normą, dotyczącą określania przepuszczalności powietrznej budynków w celu uzyskania zalecanej szczelności określnej </w:t>
      </w:r>
      <w:r w:rsidR="004752BD" w:rsidRPr="00851B65">
        <w:rPr>
          <w:rFonts w:ascii="Open Sans" w:hAnsi="Open Sans" w:cs="Open Sans"/>
          <w:i/>
          <w:iCs/>
        </w:rPr>
        <w:br/>
      </w:r>
      <w:r w:rsidRPr="00851B65">
        <w:rPr>
          <w:rFonts w:ascii="Open Sans" w:hAnsi="Open Sans" w:cs="Open Sans"/>
          <w:i/>
          <w:iCs/>
        </w:rPr>
        <w:t>w pkt. 2.3.3 załącznika nr 2 do w/w Rozporządzenia (koszty związane z próbą szczelności są kosztami kwalifikowanymi). Badanie jakości wykonania robót związanych z montażem stolarki okiennej i drzwiowej można też potwierdzić badaniami termowizyjnymi opracowanymi w formie odpowiedniego raportu z badań – koszt tych badań jest kosztem kwalifikowanym.</w:t>
      </w:r>
    </w:p>
    <w:p w14:paraId="223FD61F" w14:textId="77777777" w:rsidR="00DD1953" w:rsidRPr="00851B65" w:rsidRDefault="00DD1953" w:rsidP="00ED74F7">
      <w:pPr>
        <w:spacing w:line="288" w:lineRule="auto"/>
        <w:rPr>
          <w:rFonts w:ascii="Open Sans" w:hAnsi="Open Sans" w:cs="Open Sans"/>
          <w:i/>
          <w:iCs/>
        </w:rPr>
      </w:pPr>
      <w:r w:rsidRPr="00851B65">
        <w:rPr>
          <w:rFonts w:ascii="Open Sans" w:hAnsi="Open Sans" w:cs="Open Sans"/>
          <w:i/>
          <w:iCs/>
        </w:rPr>
        <w:t xml:space="preserve">Zaleca się stosowanie próby szczelności lub badań termowizyjnych przed ostatecznym odbiorem prac od Wykonawcy jako warunek prawidłowego wykonania prac </w:t>
      </w:r>
      <w:r w:rsidRPr="00851B65">
        <w:rPr>
          <w:rFonts w:ascii="Open Sans" w:hAnsi="Open Sans" w:cs="Open Sans"/>
          <w:i/>
          <w:iCs/>
        </w:rPr>
        <w:lastRenderedPageBreak/>
        <w:t>termomodernizacyjnych z zapewnieniem możliwości naprawy wykrytych ewentualnych usterek ww. metodami.</w:t>
      </w:r>
    </w:p>
    <w:p w14:paraId="36CD925A" w14:textId="495688D8" w:rsidR="00DD1953" w:rsidRPr="00ED74F7" w:rsidRDefault="00DD1953" w:rsidP="00EC4FFD">
      <w:pPr>
        <w:pStyle w:val="Akapitzlist"/>
        <w:numPr>
          <w:ilvl w:val="1"/>
          <w:numId w:val="5"/>
        </w:numPr>
        <w:spacing w:line="288" w:lineRule="auto"/>
        <w:ind w:left="284"/>
        <w:rPr>
          <w:rFonts w:ascii="Open Sans" w:hAnsi="Open Sans" w:cs="Open Sans"/>
          <w:b/>
          <w:bCs/>
        </w:rPr>
      </w:pPr>
      <w:r w:rsidRPr="00ED74F7">
        <w:rPr>
          <w:rFonts w:ascii="Open Sans" w:hAnsi="Open Sans" w:cs="Open Sans"/>
          <w:b/>
          <w:bCs/>
        </w:rPr>
        <w:t>Wymiana oświetlenia na energooszczędne</w:t>
      </w:r>
    </w:p>
    <w:p w14:paraId="077465B5" w14:textId="4CCE892F" w:rsidR="00DD1953" w:rsidRPr="008A1486" w:rsidRDefault="00DD1953" w:rsidP="006230D1">
      <w:pPr>
        <w:pStyle w:val="Akapitzlist"/>
        <w:numPr>
          <w:ilvl w:val="2"/>
          <w:numId w:val="28"/>
        </w:numPr>
        <w:spacing w:line="288" w:lineRule="auto"/>
        <w:ind w:left="142"/>
        <w:rPr>
          <w:rFonts w:ascii="Open Sans" w:hAnsi="Open Sans" w:cs="Open Sans"/>
        </w:rPr>
      </w:pPr>
      <w:r w:rsidRPr="008A1486">
        <w:rPr>
          <w:rFonts w:ascii="Open Sans" w:hAnsi="Open Sans" w:cs="Open Sans"/>
        </w:rPr>
        <w:t>wymiana źródeł światła na źródła wysokowydajne, np. żarówek na świetlówki;</w:t>
      </w:r>
    </w:p>
    <w:p w14:paraId="176E9085" w14:textId="6875E650" w:rsidR="00DD1953" w:rsidRPr="008A1486" w:rsidRDefault="00DD1953" w:rsidP="006230D1">
      <w:pPr>
        <w:pStyle w:val="Akapitzlist"/>
        <w:numPr>
          <w:ilvl w:val="2"/>
          <w:numId w:val="28"/>
        </w:numPr>
        <w:spacing w:line="288" w:lineRule="auto"/>
        <w:ind w:left="142"/>
        <w:rPr>
          <w:rFonts w:ascii="Open Sans" w:hAnsi="Open Sans" w:cs="Open Sans"/>
        </w:rPr>
      </w:pPr>
      <w:r w:rsidRPr="008A1486">
        <w:rPr>
          <w:rFonts w:ascii="Open Sans" w:hAnsi="Open Sans" w:cs="Open Sans"/>
        </w:rPr>
        <w:t>wymiana opraw;</w:t>
      </w:r>
    </w:p>
    <w:p w14:paraId="07AB07E6" w14:textId="4DEB317C" w:rsidR="00DD1953" w:rsidRPr="008A1486" w:rsidRDefault="00DD1953" w:rsidP="006230D1">
      <w:pPr>
        <w:pStyle w:val="Akapitzlist"/>
        <w:numPr>
          <w:ilvl w:val="2"/>
          <w:numId w:val="28"/>
        </w:numPr>
        <w:spacing w:line="288" w:lineRule="auto"/>
        <w:ind w:left="142"/>
        <w:rPr>
          <w:rFonts w:ascii="Open Sans" w:hAnsi="Open Sans" w:cs="Open Sans"/>
        </w:rPr>
      </w:pPr>
      <w:r w:rsidRPr="008A1486">
        <w:rPr>
          <w:rFonts w:ascii="Open Sans" w:hAnsi="Open Sans" w:cs="Open Sans"/>
        </w:rPr>
        <w:t>wymiana i montaż tablic rozdzielczych;</w:t>
      </w:r>
    </w:p>
    <w:p w14:paraId="00284A03" w14:textId="7F79887F" w:rsidR="00DD1953" w:rsidRPr="008A1486" w:rsidRDefault="00DD1953" w:rsidP="006230D1">
      <w:pPr>
        <w:pStyle w:val="Akapitzlist"/>
        <w:numPr>
          <w:ilvl w:val="2"/>
          <w:numId w:val="28"/>
        </w:numPr>
        <w:spacing w:line="288" w:lineRule="auto"/>
        <w:ind w:left="142"/>
        <w:rPr>
          <w:rFonts w:ascii="Open Sans" w:hAnsi="Open Sans" w:cs="Open Sans"/>
        </w:rPr>
      </w:pPr>
      <w:r w:rsidRPr="008A1486">
        <w:rPr>
          <w:rFonts w:ascii="Open Sans" w:hAnsi="Open Sans" w:cs="Open Sans"/>
        </w:rPr>
        <w:t>zastosowanie i montaż układów automatyki sterowniczej, w tym zastosowanie systemów zarządzania energią;</w:t>
      </w:r>
    </w:p>
    <w:p w14:paraId="74649048" w14:textId="7D7E99D5" w:rsidR="00DD1953" w:rsidRPr="008A1486" w:rsidRDefault="00DD1953" w:rsidP="006230D1">
      <w:pPr>
        <w:pStyle w:val="Akapitzlist"/>
        <w:numPr>
          <w:ilvl w:val="2"/>
          <w:numId w:val="28"/>
        </w:numPr>
        <w:spacing w:line="288" w:lineRule="auto"/>
        <w:ind w:left="142"/>
        <w:rPr>
          <w:rFonts w:ascii="Open Sans" w:hAnsi="Open Sans" w:cs="Open Sans"/>
        </w:rPr>
      </w:pPr>
      <w:r w:rsidRPr="008A1486">
        <w:rPr>
          <w:rFonts w:ascii="Open Sans" w:hAnsi="Open Sans" w:cs="Open Sans"/>
        </w:rPr>
        <w:t>przełożenie (wymiana) instalacji elektrycznej, gdy jest to uzasadnione i wynika z audytu energetycznego ex-ante;</w:t>
      </w:r>
    </w:p>
    <w:p w14:paraId="0981E9E2" w14:textId="515D4D81" w:rsidR="00DD1953" w:rsidRPr="00851B65" w:rsidRDefault="00DD1953" w:rsidP="00ED74F7">
      <w:pPr>
        <w:spacing w:line="288" w:lineRule="auto"/>
        <w:rPr>
          <w:rFonts w:ascii="Open Sans" w:hAnsi="Open Sans" w:cs="Open Sans"/>
          <w:i/>
          <w:iCs/>
        </w:rPr>
      </w:pPr>
      <w:r w:rsidRPr="00851B65">
        <w:rPr>
          <w:rFonts w:ascii="Open Sans" w:hAnsi="Open Sans" w:cs="Open Sans"/>
          <w:i/>
          <w:iCs/>
        </w:rPr>
        <w:t>Roboty mogą obejmować kompleksową modernizację oświetlenia w tym zmianę rozmieszczenie i ilości punktów świetlnych) prowadzącą do właściwego doboru natężenia oświetlenia w pomieszczeniach;</w:t>
      </w:r>
      <w:r w:rsidR="000D0903" w:rsidRPr="00851B65">
        <w:rPr>
          <w:rFonts w:ascii="Open Sans" w:hAnsi="Open Sans" w:cs="Open Sans"/>
          <w:i/>
          <w:iCs/>
        </w:rPr>
        <w:t xml:space="preserve"> </w:t>
      </w:r>
      <w:r w:rsidRPr="00851B65">
        <w:rPr>
          <w:rFonts w:ascii="Open Sans" w:hAnsi="Open Sans" w:cs="Open Sans"/>
          <w:i/>
          <w:iCs/>
        </w:rPr>
        <w:t>wykorzystania w maksymalnym stopniu oświetlenia dziennego; optymalnego wykorzystania odbić od powierzchni pionowych</w:t>
      </w:r>
      <w:r w:rsidR="00DC0990" w:rsidRPr="00851B65">
        <w:rPr>
          <w:rFonts w:ascii="Open Sans" w:hAnsi="Open Sans" w:cs="Open Sans"/>
          <w:i/>
          <w:iCs/>
        </w:rPr>
        <w:t>, itp</w:t>
      </w:r>
      <w:r w:rsidRPr="00851B65">
        <w:rPr>
          <w:rFonts w:ascii="Open Sans" w:hAnsi="Open Sans" w:cs="Open Sans"/>
          <w:i/>
          <w:iCs/>
        </w:rPr>
        <w:t>.</w:t>
      </w:r>
    </w:p>
    <w:p w14:paraId="1BB27C47" w14:textId="03732FE0" w:rsidR="00DD1953" w:rsidRPr="00ED74F7" w:rsidRDefault="00DD1953" w:rsidP="006230D1">
      <w:pPr>
        <w:pStyle w:val="Akapitzlist"/>
        <w:numPr>
          <w:ilvl w:val="1"/>
          <w:numId w:val="5"/>
        </w:numPr>
        <w:spacing w:line="288" w:lineRule="auto"/>
        <w:ind w:left="284"/>
        <w:rPr>
          <w:rFonts w:ascii="Open Sans" w:hAnsi="Open Sans" w:cs="Open Sans"/>
          <w:b/>
          <w:bCs/>
        </w:rPr>
      </w:pPr>
      <w:r w:rsidRPr="00ED74F7">
        <w:rPr>
          <w:rFonts w:ascii="Open Sans" w:hAnsi="Open Sans" w:cs="Open Sans"/>
          <w:b/>
          <w:bCs/>
        </w:rPr>
        <w:t>Przebudowa / modernizacja systemów grzewczych (instalacji centralnego ogrzewania, podłączenie bardziej energetycznie i ekologicznie efektywnego źródła ciepła)</w:t>
      </w:r>
      <w:r w:rsidR="00A45322" w:rsidRPr="00ED74F7">
        <w:rPr>
          <w:rFonts w:ascii="Open Sans" w:hAnsi="Open Sans" w:cs="Open Sans"/>
          <w:b/>
          <w:bCs/>
        </w:rPr>
        <w:t>.</w:t>
      </w:r>
    </w:p>
    <w:p w14:paraId="29566418" w14:textId="64599D00"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opracowanie projektów budowlanych i wykonawczych modernizacji energetycznej, stanowiących element projektu inwestycyjnego;</w:t>
      </w:r>
    </w:p>
    <w:p w14:paraId="724ABE50" w14:textId="6FAEC89E"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 xml:space="preserve">wymiana instalacji (w tym modernizacja polegająca na zmianie układu zasilania </w:t>
      </w:r>
      <w:r w:rsidR="004752BD" w:rsidRPr="008A1486">
        <w:rPr>
          <w:rFonts w:ascii="Open Sans" w:hAnsi="Open Sans" w:cs="Open Sans"/>
        </w:rPr>
        <w:br/>
      </w:r>
      <w:r w:rsidRPr="008A1486">
        <w:rPr>
          <w:rFonts w:ascii="Open Sans" w:hAnsi="Open Sans" w:cs="Open Sans"/>
        </w:rPr>
        <w:t xml:space="preserve">i dystrybucji ciepła, rurociągów i grzejników, z uwzględnieniem zmiany grzejników </w:t>
      </w:r>
      <w:r w:rsidR="004752BD" w:rsidRPr="008A1486">
        <w:rPr>
          <w:rFonts w:ascii="Open Sans" w:hAnsi="Open Sans" w:cs="Open Sans"/>
        </w:rPr>
        <w:br/>
      </w:r>
      <w:r w:rsidRPr="008A1486">
        <w:rPr>
          <w:rFonts w:ascii="Open Sans" w:hAnsi="Open Sans" w:cs="Open Sans"/>
        </w:rPr>
        <w:t>na bardziej efektywne energetycznie), w tym likwidacja elementów instalacji i urządzeń zawierających azbest, pod warunkiem, że są prowadzone zgodnie z przepisami</w:t>
      </w:r>
      <w:r w:rsidR="00C30B04" w:rsidRPr="00851B65">
        <w:rPr>
          <w:rStyle w:val="Odwoanieprzypisudolnego"/>
          <w:rFonts w:ascii="Open Sans" w:hAnsi="Open Sans" w:cs="Open Sans"/>
        </w:rPr>
        <w:footnoteReference w:id="4"/>
      </w:r>
      <w:r w:rsidRPr="008A1486">
        <w:rPr>
          <w:rFonts w:ascii="Open Sans" w:hAnsi="Open Sans" w:cs="Open Sans"/>
        </w:rPr>
        <w:t>;</w:t>
      </w:r>
    </w:p>
    <w:p w14:paraId="3873FBD9" w14:textId="57C06C74"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wymiana/zastosowanie izolacji termicznej instalacji, zgodnie z obowiązującymi przepisami techniczno</w:t>
      </w:r>
      <w:r w:rsidR="00C30B04" w:rsidRPr="008A1486">
        <w:rPr>
          <w:rFonts w:ascii="Open Sans" w:hAnsi="Open Sans" w:cs="Open Sans"/>
        </w:rPr>
        <w:t>-</w:t>
      </w:r>
      <w:r w:rsidRPr="008A1486">
        <w:rPr>
          <w:rFonts w:ascii="Open Sans" w:hAnsi="Open Sans" w:cs="Open Sans"/>
        </w:rPr>
        <w:t xml:space="preserve"> budowlanymi; obejmuje całość instalacji, w tym odcinki przechodzące przez ściany, stropy, przewody ułożone w podłodze, przewody ogrzewania powietrznego, przewody instalacji wody lodowej, przewody zewnętrznej sieci ciepłowniczej poza budynkiem, łączące zewnętrzne źródło ciepła i instalację c.o. </w:t>
      </w:r>
      <w:r w:rsidR="004752BD" w:rsidRPr="008A1486">
        <w:rPr>
          <w:rFonts w:ascii="Open Sans" w:hAnsi="Open Sans" w:cs="Open Sans"/>
        </w:rPr>
        <w:br/>
      </w:r>
      <w:r w:rsidRPr="008A1486">
        <w:rPr>
          <w:rFonts w:ascii="Open Sans" w:hAnsi="Open Sans" w:cs="Open Sans"/>
        </w:rPr>
        <w:t>w budynku, itp.;</w:t>
      </w:r>
    </w:p>
    <w:p w14:paraId="5491862D" w14:textId="7ED7264A"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lastRenderedPageBreak/>
        <w:t xml:space="preserve">poprawa efektywności energetycznej lokalnej sieci ciepłowniczej, łączącej źródło ciepła z instalacją c.o. w budynku, zgodnie z obowiązującymi przepisami </w:t>
      </w:r>
      <w:proofErr w:type="spellStart"/>
      <w:r w:rsidRPr="008A1486">
        <w:rPr>
          <w:rFonts w:ascii="Open Sans" w:hAnsi="Open Sans" w:cs="Open Sans"/>
        </w:rPr>
        <w:t>techniczno</w:t>
      </w:r>
      <w:proofErr w:type="spellEnd"/>
      <w:r w:rsidRPr="008A1486">
        <w:rPr>
          <w:rFonts w:ascii="Open Sans" w:hAnsi="Open Sans" w:cs="Open Sans"/>
        </w:rPr>
        <w:t xml:space="preserve"> – budowlanymi;</w:t>
      </w:r>
    </w:p>
    <w:p w14:paraId="6DD55E16" w14:textId="4B07D343"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regulacja hydrauliczna instalacji polegająca m.in. na jej hydraulicznym zrównoważeniu;</w:t>
      </w:r>
    </w:p>
    <w:p w14:paraId="2D8767DB" w14:textId="77643BA5"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 xml:space="preserve">zastosowanie armatury regulacyjnej, w tym przede wszystkim zaworów </w:t>
      </w:r>
      <w:proofErr w:type="spellStart"/>
      <w:r w:rsidRPr="008A1486">
        <w:rPr>
          <w:rFonts w:ascii="Open Sans" w:hAnsi="Open Sans" w:cs="Open Sans"/>
        </w:rPr>
        <w:t>podpionowych</w:t>
      </w:r>
      <w:proofErr w:type="spellEnd"/>
      <w:r w:rsidRPr="008A1486">
        <w:rPr>
          <w:rFonts w:ascii="Open Sans" w:hAnsi="Open Sans" w:cs="Open Sans"/>
        </w:rPr>
        <w:t>, zaworów termostatycznych, zaworów równoważących oraz wszelkiej innej armatury wpływającej na jakość regulacji;</w:t>
      </w:r>
    </w:p>
    <w:p w14:paraId="3EA80BC2" w14:textId="51683BD9"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zastosowanie i montaż układów automatyki sterowniczej w źródle ciepła (w tym automatyki pogodowej, czasowego sterowania pracą instalacji, polegającego na nocnym lub weekendowym obniżeniu parametrów pracy, itp.);</w:t>
      </w:r>
    </w:p>
    <w:p w14:paraId="4FD7EB17" w14:textId="1C1498FA"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 xml:space="preserve">zastosowanie ekranów </w:t>
      </w:r>
      <w:proofErr w:type="spellStart"/>
      <w:r w:rsidRPr="008A1486">
        <w:rPr>
          <w:rFonts w:ascii="Open Sans" w:hAnsi="Open Sans" w:cs="Open Sans"/>
        </w:rPr>
        <w:t>zagrzejnikowych</w:t>
      </w:r>
      <w:proofErr w:type="spellEnd"/>
      <w:r w:rsidRPr="008A1486">
        <w:rPr>
          <w:rFonts w:ascii="Open Sans" w:hAnsi="Open Sans" w:cs="Open Sans"/>
        </w:rPr>
        <w:t>;</w:t>
      </w:r>
    </w:p>
    <w:p w14:paraId="2962B47D" w14:textId="165E35E1"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 xml:space="preserve">hermetyzacja instalacji (zastosowanie przeponowych naczyń </w:t>
      </w:r>
      <w:proofErr w:type="spellStart"/>
      <w:r w:rsidRPr="008A1486">
        <w:rPr>
          <w:rFonts w:ascii="Open Sans" w:hAnsi="Open Sans" w:cs="Open Sans"/>
        </w:rPr>
        <w:t>wzbiorczych</w:t>
      </w:r>
      <w:proofErr w:type="spellEnd"/>
      <w:r w:rsidRPr="008A1486">
        <w:rPr>
          <w:rFonts w:ascii="Open Sans" w:hAnsi="Open Sans" w:cs="Open Sans"/>
        </w:rPr>
        <w:t xml:space="preserve"> oraz automatycznych zaworów odpowietrzających);</w:t>
      </w:r>
    </w:p>
    <w:p w14:paraId="4AB2DECD" w14:textId="099B8CBF"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czyszczenie i chemiczne płukanie instalacji;</w:t>
      </w:r>
    </w:p>
    <w:p w14:paraId="4B1A2B93" w14:textId="72A87122"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remont i dostosowanie pomieszczeń węzłów cieplnych lub kotłowni do odpowiednich standardów (okładziny ceramiczne, malowanie, wykonanie instalacji kanalizacyjnych, elektrycznych, wentylacyjnych, przeciwpożarowych, itp.);</w:t>
      </w:r>
    </w:p>
    <w:p w14:paraId="46067CB8" w14:textId="4F2F3EB6"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instalacja / przebudowa systemów chłodzących, w tym również z zastosowaniem urządzeń OZE, pod warunkiem, że wiązać się to będzie z uzyskaniem oszczędności energii w obiekcie;</w:t>
      </w:r>
    </w:p>
    <w:p w14:paraId="01EB8247" w14:textId="3D7B8B52" w:rsidR="00DD1953" w:rsidRPr="008A1486" w:rsidRDefault="00DD1953" w:rsidP="006230D1">
      <w:pPr>
        <w:pStyle w:val="Akapitzlist"/>
        <w:numPr>
          <w:ilvl w:val="2"/>
          <w:numId w:val="29"/>
        </w:numPr>
        <w:spacing w:line="288" w:lineRule="auto"/>
        <w:ind w:left="142"/>
        <w:rPr>
          <w:rFonts w:ascii="Open Sans" w:hAnsi="Open Sans" w:cs="Open Sans"/>
        </w:rPr>
      </w:pPr>
      <w:r w:rsidRPr="008A1486">
        <w:rPr>
          <w:rFonts w:ascii="Open Sans" w:hAnsi="Open Sans" w:cs="Open Sans"/>
        </w:rPr>
        <w:t xml:space="preserve">instalacja urządzeń OZE w modernizowanych energetycznie budynkach, zastępująca </w:t>
      </w:r>
      <w:r w:rsidR="00C251E7" w:rsidRPr="008A1486">
        <w:rPr>
          <w:rFonts w:ascii="Open Sans" w:hAnsi="Open Sans" w:cs="Open Sans"/>
        </w:rPr>
        <w:br/>
      </w:r>
      <w:r w:rsidRPr="008A1486">
        <w:rPr>
          <w:rFonts w:ascii="Open Sans" w:hAnsi="Open Sans" w:cs="Open Sans"/>
        </w:rPr>
        <w:t>w całości lub częściowe dotychczasowe źródło ciepła, pod warunkiem że obiekt nie jest lub nie może być podłączony do sieci ciepłowniczej;</w:t>
      </w:r>
    </w:p>
    <w:p w14:paraId="794F794A" w14:textId="5F76A7E4" w:rsidR="00475E11" w:rsidRDefault="00DD1953" w:rsidP="00DC06B4">
      <w:pPr>
        <w:pStyle w:val="Akapitzlist"/>
        <w:numPr>
          <w:ilvl w:val="2"/>
          <w:numId w:val="29"/>
        </w:numPr>
        <w:spacing w:after="360" w:line="288" w:lineRule="auto"/>
        <w:ind w:left="141" w:hanging="181"/>
        <w:contextualSpacing w:val="0"/>
        <w:rPr>
          <w:rFonts w:ascii="Open Sans" w:hAnsi="Open Sans" w:cs="Open Sans"/>
        </w:rPr>
      </w:pPr>
      <w:r w:rsidRPr="008A1486">
        <w:rPr>
          <w:rFonts w:ascii="Open Sans" w:hAnsi="Open Sans" w:cs="Open Sans"/>
        </w:rPr>
        <w:t xml:space="preserve">instalacja liczników ciepła, niezbędnych do prawidłowego prezentowania danych </w:t>
      </w:r>
      <w:r w:rsidR="00C251E7" w:rsidRPr="008A1486">
        <w:rPr>
          <w:rFonts w:ascii="Open Sans" w:hAnsi="Open Sans" w:cs="Open Sans"/>
        </w:rPr>
        <w:br/>
      </w:r>
      <w:r w:rsidRPr="008A1486">
        <w:rPr>
          <w:rFonts w:ascii="Open Sans" w:hAnsi="Open Sans" w:cs="Open Sans"/>
        </w:rPr>
        <w:t xml:space="preserve">o zużyciu oraz produkcji ciepła i energii elektrycznej w tym ze źródeł odnawialnych; montaż liczników nie jest obligatoryjny w przypadku, gdy nie jest to technicznie </w:t>
      </w:r>
      <w:r w:rsidR="00C251E7" w:rsidRPr="008A1486">
        <w:rPr>
          <w:rFonts w:ascii="Open Sans" w:hAnsi="Open Sans" w:cs="Open Sans"/>
        </w:rPr>
        <w:br/>
      </w:r>
      <w:r w:rsidRPr="008A1486">
        <w:rPr>
          <w:rFonts w:ascii="Open Sans" w:hAnsi="Open Sans" w:cs="Open Sans"/>
        </w:rPr>
        <w:t>i ekonomicznie uzasadnione lub gdy budynek będący przedmiotem modernizacji energetycznej został uprzednio wyposażony w ww. urządzenia</w:t>
      </w:r>
      <w:r w:rsidR="007B04A8" w:rsidRPr="008A1486">
        <w:rPr>
          <w:rFonts w:ascii="Open Sans" w:hAnsi="Open Sans" w:cs="Open Sans"/>
        </w:rPr>
        <w:t>.</w:t>
      </w:r>
    </w:p>
    <w:p w14:paraId="211DA1AD" w14:textId="1B75BAC9" w:rsidR="001B5ACC" w:rsidRPr="00ED74F7" w:rsidRDefault="001B5ACC" w:rsidP="006230D1">
      <w:pPr>
        <w:pStyle w:val="Akapitzlist"/>
        <w:numPr>
          <w:ilvl w:val="1"/>
          <w:numId w:val="5"/>
        </w:numPr>
        <w:spacing w:line="288" w:lineRule="auto"/>
        <w:ind w:left="284"/>
        <w:rPr>
          <w:rFonts w:ascii="Open Sans" w:hAnsi="Open Sans" w:cs="Open Sans"/>
          <w:b/>
          <w:bCs/>
        </w:rPr>
      </w:pPr>
      <w:r w:rsidRPr="00ED74F7">
        <w:rPr>
          <w:rFonts w:ascii="Open Sans" w:hAnsi="Open Sans" w:cs="Open Sans"/>
          <w:b/>
          <w:bCs/>
        </w:rPr>
        <w:t>Modernizacja źródła ciepła, w tym źródła zewnętrznego oraz energetyczne wykorzystanie OZE</w:t>
      </w:r>
    </w:p>
    <w:p w14:paraId="34B3D74C" w14:textId="742A4F34" w:rsidR="001B5ACC" w:rsidRPr="008A1486" w:rsidRDefault="001B5ACC" w:rsidP="006230D1">
      <w:pPr>
        <w:pStyle w:val="Akapitzlist"/>
        <w:numPr>
          <w:ilvl w:val="2"/>
          <w:numId w:val="30"/>
        </w:numPr>
        <w:spacing w:line="288" w:lineRule="auto"/>
        <w:ind w:left="426"/>
        <w:rPr>
          <w:rFonts w:ascii="Open Sans" w:hAnsi="Open Sans" w:cs="Open Sans"/>
        </w:rPr>
      </w:pPr>
      <w:r w:rsidRPr="008A1486">
        <w:rPr>
          <w:rFonts w:ascii="Open Sans" w:hAnsi="Open Sans" w:cs="Open Sans"/>
        </w:rPr>
        <w:t>modernizacja (podniesienie sprawności wytwarzania) kotłów, gdy jest to uzasadnione i wynika z audytu energetycznego ex-ante;</w:t>
      </w:r>
    </w:p>
    <w:p w14:paraId="1A92F4D7" w14:textId="7C07BF10" w:rsidR="001B5ACC" w:rsidRPr="008A1486" w:rsidRDefault="001B5ACC" w:rsidP="006230D1">
      <w:pPr>
        <w:pStyle w:val="Akapitzlist"/>
        <w:numPr>
          <w:ilvl w:val="2"/>
          <w:numId w:val="30"/>
        </w:numPr>
        <w:spacing w:line="288" w:lineRule="auto"/>
        <w:ind w:left="426"/>
        <w:rPr>
          <w:rFonts w:ascii="Open Sans" w:hAnsi="Open Sans" w:cs="Open Sans"/>
        </w:rPr>
      </w:pPr>
      <w:r w:rsidRPr="008A1486">
        <w:rPr>
          <w:rFonts w:ascii="Open Sans" w:hAnsi="Open Sans" w:cs="Open Sans"/>
        </w:rPr>
        <w:lastRenderedPageBreak/>
        <w:t>wymiana kotłów</w:t>
      </w:r>
      <w:r w:rsidR="009C30C9" w:rsidRPr="008A1486">
        <w:rPr>
          <w:rFonts w:ascii="Open Sans" w:hAnsi="Open Sans" w:cs="Open Sans"/>
        </w:rPr>
        <w:t xml:space="preserve">, </w:t>
      </w:r>
      <w:r w:rsidRPr="008A1486">
        <w:rPr>
          <w:rFonts w:ascii="Open Sans" w:hAnsi="Open Sans" w:cs="Open Sans"/>
        </w:rPr>
        <w:t>przy czym</w:t>
      </w:r>
      <w:r w:rsidR="009C30C9" w:rsidRPr="008A1486">
        <w:rPr>
          <w:rFonts w:ascii="Open Sans" w:hAnsi="Open Sans" w:cs="Open Sans"/>
        </w:rPr>
        <w:t>, zgodnie z zapisami Dyrektywy EPBD</w:t>
      </w:r>
      <w:r w:rsidR="009C30C9" w:rsidRPr="00851B65">
        <w:rPr>
          <w:rStyle w:val="Odwoanieprzypisudolnego"/>
          <w:rFonts w:ascii="Open Sans" w:hAnsi="Open Sans" w:cs="Open Sans"/>
        </w:rPr>
        <w:footnoteReference w:id="5"/>
      </w:r>
      <w:r w:rsidR="00D21873" w:rsidRPr="008A1486">
        <w:rPr>
          <w:rFonts w:ascii="Open Sans" w:hAnsi="Open Sans" w:cs="Open Sans"/>
        </w:rPr>
        <w:t>,</w:t>
      </w:r>
      <w:r w:rsidRPr="008A1486">
        <w:rPr>
          <w:rFonts w:ascii="Open Sans" w:hAnsi="Open Sans" w:cs="Open Sans"/>
        </w:rPr>
        <w:t xml:space="preserve"> </w:t>
      </w:r>
      <w:r w:rsidR="009C30C9" w:rsidRPr="008A1486">
        <w:rPr>
          <w:rFonts w:ascii="Open Sans" w:hAnsi="Open Sans" w:cs="Open Sans"/>
        </w:rPr>
        <w:t xml:space="preserve">od dnia 1 stycznia 2025 r. państwa członkowskie nie udzielają żadnych zachęt finansowych do instalacji indywidualnych kotłów zasilanych paliwami kopalnym, zatem </w:t>
      </w:r>
      <w:r w:rsidRPr="008A1486">
        <w:rPr>
          <w:rFonts w:ascii="Open Sans" w:hAnsi="Open Sans" w:cs="Open Sans"/>
        </w:rPr>
        <w:t xml:space="preserve">wsparcie </w:t>
      </w:r>
      <w:r w:rsidR="00D21873" w:rsidRPr="008A1486">
        <w:rPr>
          <w:rFonts w:ascii="Open Sans" w:hAnsi="Open Sans" w:cs="Open Sans"/>
        </w:rPr>
        <w:t xml:space="preserve">np. </w:t>
      </w:r>
      <w:r w:rsidRPr="008A1486">
        <w:rPr>
          <w:rFonts w:ascii="Open Sans" w:hAnsi="Open Sans" w:cs="Open Sans"/>
        </w:rPr>
        <w:t>na wymianę</w:t>
      </w:r>
      <w:r w:rsidR="00D21873" w:rsidRPr="008A1486">
        <w:rPr>
          <w:rFonts w:ascii="Open Sans" w:hAnsi="Open Sans" w:cs="Open Sans"/>
        </w:rPr>
        <w:t xml:space="preserve">/montaż </w:t>
      </w:r>
      <w:r w:rsidRPr="008A1486">
        <w:rPr>
          <w:rFonts w:ascii="Open Sans" w:hAnsi="Open Sans" w:cs="Open Sans"/>
        </w:rPr>
        <w:t xml:space="preserve">systemów grzewczych zasilanych paliwami kopalnymi, </w:t>
      </w:r>
      <w:r w:rsidR="00D21873" w:rsidRPr="008A1486">
        <w:rPr>
          <w:rFonts w:ascii="Open Sans" w:hAnsi="Open Sans" w:cs="Open Sans"/>
        </w:rPr>
        <w:t>(</w:t>
      </w:r>
      <w:r w:rsidRPr="008A1486">
        <w:rPr>
          <w:rFonts w:ascii="Open Sans" w:hAnsi="Open Sans" w:cs="Open Sans"/>
        </w:rPr>
        <w:t xml:space="preserve">tj. węglem kamiennym, torfem, węglem brunatnym, łupkami bitumicznymi, </w:t>
      </w:r>
      <w:r w:rsidR="00D21873" w:rsidRPr="008A1486">
        <w:rPr>
          <w:rFonts w:ascii="Open Sans" w:hAnsi="Open Sans" w:cs="Open Sans"/>
        </w:rPr>
        <w:t xml:space="preserve">olejem napędowym, </w:t>
      </w:r>
      <w:r w:rsidRPr="008A1486">
        <w:rPr>
          <w:rFonts w:ascii="Open Sans" w:hAnsi="Open Sans" w:cs="Open Sans"/>
        </w:rPr>
        <w:t>gazem ziemnym</w:t>
      </w:r>
      <w:r w:rsidR="00D21873" w:rsidRPr="008A1486">
        <w:rPr>
          <w:rFonts w:ascii="Open Sans" w:hAnsi="Open Sans" w:cs="Open Sans"/>
        </w:rPr>
        <w:t xml:space="preserve"> itp.)</w:t>
      </w:r>
      <w:r w:rsidRPr="008A1486">
        <w:rPr>
          <w:rFonts w:ascii="Open Sans" w:hAnsi="Open Sans" w:cs="Open Sans"/>
        </w:rPr>
        <w:t xml:space="preserve"> </w:t>
      </w:r>
      <w:r w:rsidR="009C30C9" w:rsidRPr="008A1486">
        <w:rPr>
          <w:rFonts w:ascii="Open Sans" w:hAnsi="Open Sans" w:cs="Open Sans"/>
        </w:rPr>
        <w:t>nie jest możliwe do kwalifikacji w ramach</w:t>
      </w:r>
      <w:r w:rsidR="006738FA">
        <w:rPr>
          <w:rFonts w:ascii="Open Sans" w:hAnsi="Open Sans" w:cs="Open Sans"/>
        </w:rPr>
        <w:t xml:space="preserve"> naboru</w:t>
      </w:r>
      <w:r w:rsidR="006738FA">
        <w:rPr>
          <w:rStyle w:val="Odwoanieprzypisudolnego"/>
          <w:rFonts w:ascii="Open Sans" w:hAnsi="Open Sans" w:cs="Open Sans"/>
        </w:rPr>
        <w:footnoteReference w:id="6"/>
      </w:r>
      <w:r w:rsidRPr="008A1486">
        <w:rPr>
          <w:rFonts w:ascii="Open Sans" w:hAnsi="Open Sans" w:cs="Open Sans"/>
        </w:rPr>
        <w:t>;</w:t>
      </w:r>
    </w:p>
    <w:p w14:paraId="12C7AD42" w14:textId="02B7E22E" w:rsidR="001B5ACC" w:rsidRPr="00851B65" w:rsidRDefault="001B5ACC" w:rsidP="00ED74F7">
      <w:pPr>
        <w:spacing w:line="288" w:lineRule="auto"/>
        <w:rPr>
          <w:rFonts w:ascii="Open Sans" w:hAnsi="Open Sans" w:cs="Open Sans"/>
          <w:i/>
        </w:rPr>
      </w:pPr>
      <w:r w:rsidRPr="00851B65">
        <w:rPr>
          <w:rFonts w:ascii="Open Sans" w:hAnsi="Open Sans" w:cs="Open Sans"/>
          <w:i/>
        </w:rPr>
        <w:t xml:space="preserve">Nowe urządzenia do ogrzewania powinny spełniać aktualne przepisy UE, dotyczące minimalnego poziomu efektywności energetycznej i norm emisji zanieczyszczeń, które zostały określone w przepisach wykonawczych do Dyrektywy 2009/125/WE z dnia 21 października 2009 r., ustanawiającej ogólne zasady ustalania wymogów dotyczących </w:t>
      </w:r>
      <w:proofErr w:type="spellStart"/>
      <w:r w:rsidRPr="00851B65">
        <w:rPr>
          <w:rFonts w:ascii="Open Sans" w:hAnsi="Open Sans" w:cs="Open Sans"/>
          <w:i/>
        </w:rPr>
        <w:t>ekoprojektu</w:t>
      </w:r>
      <w:proofErr w:type="spellEnd"/>
      <w:r w:rsidRPr="00851B65">
        <w:rPr>
          <w:rFonts w:ascii="Open Sans" w:hAnsi="Open Sans" w:cs="Open Sans"/>
          <w:i/>
        </w:rPr>
        <w:t xml:space="preserve"> dla produktów związanych z energią</w:t>
      </w:r>
      <w:r w:rsidR="00AA318B" w:rsidRPr="00851B65">
        <w:rPr>
          <w:rFonts w:ascii="Open Sans" w:hAnsi="Open Sans" w:cs="Open Sans"/>
          <w:i/>
        </w:rPr>
        <w:t>.</w:t>
      </w:r>
    </w:p>
    <w:p w14:paraId="079C1692" w14:textId="5AC35B35" w:rsidR="001B5ACC" w:rsidRPr="00851B65" w:rsidRDefault="001B5ACC" w:rsidP="00ED74F7">
      <w:pPr>
        <w:spacing w:line="288" w:lineRule="auto"/>
        <w:rPr>
          <w:rFonts w:ascii="Open Sans" w:hAnsi="Open Sans" w:cs="Open Sans"/>
          <w:i/>
        </w:rPr>
      </w:pPr>
      <w:r w:rsidRPr="00851B65">
        <w:rPr>
          <w:rFonts w:ascii="Open Sans" w:hAnsi="Open Sans" w:cs="Open Sans"/>
          <w:i/>
        </w:rPr>
        <w:t xml:space="preserve">W budynkach użyteczności publicznej wymiana indywidualnego źródła ciepła opartego na spalaniu paliw kopalnych możliwa będzie w oparciu o hierarchię źródeł ciepła: 1. Ciepło systemowe, 2 Odnawialne Źródła Energii (tj. pompy ciepła). Dopiero uzasadnienie dla braku możliwości technicznych lub ekonomicznych może być podstawą wyboru źródła ciepła </w:t>
      </w:r>
      <w:r w:rsidR="00C251E7" w:rsidRPr="00851B65">
        <w:rPr>
          <w:rFonts w:ascii="Open Sans" w:hAnsi="Open Sans" w:cs="Open Sans"/>
          <w:i/>
        </w:rPr>
        <w:br/>
      </w:r>
      <w:r w:rsidRPr="00851B65">
        <w:rPr>
          <w:rFonts w:ascii="Open Sans" w:hAnsi="Open Sans" w:cs="Open Sans"/>
          <w:i/>
        </w:rPr>
        <w:t>o niższej hierarchii. Jeżeli będzie to możliwe, mogą zostać uwzględnione rozwiązania mające na celu wdrożenie technologii wodorowych, które są zgodne z zakresem art. 6 i 7 rozporządzenia 2021/1058 ERDF/CF.</w:t>
      </w:r>
    </w:p>
    <w:p w14:paraId="55ACD572" w14:textId="7A79DC7C" w:rsidR="00AA318B" w:rsidRPr="00851B65" w:rsidRDefault="00AA318B" w:rsidP="00ED74F7">
      <w:pPr>
        <w:spacing w:line="288" w:lineRule="auto"/>
        <w:rPr>
          <w:rFonts w:ascii="Open Sans" w:hAnsi="Open Sans" w:cs="Open Sans"/>
        </w:rPr>
      </w:pPr>
      <w:r w:rsidRPr="00851B65">
        <w:rPr>
          <w:rFonts w:ascii="Open Sans" w:hAnsi="Open Sans" w:cs="Open Sans"/>
        </w:rPr>
        <w:t>Zgodnie z Dyrektywą Parlamentu Europejskiego i Rady (UE) 2024/1275 z dnia 24 kwietnia 2024 r. w sprawie charakterystyki energetycznej budynków od 1 stycznia 2025 roku wsparcie instalacji indywidualnych kotłów zasilanych paliwami kopalnymi nie jest możliwe.</w:t>
      </w:r>
    </w:p>
    <w:p w14:paraId="0A1A81CF" w14:textId="4D4DF53C" w:rsidR="001B5ACC" w:rsidRPr="00851B65" w:rsidRDefault="001B5ACC" w:rsidP="00ED74F7">
      <w:pPr>
        <w:spacing w:line="288" w:lineRule="auto"/>
        <w:rPr>
          <w:rFonts w:ascii="Open Sans" w:hAnsi="Open Sans" w:cs="Open Sans"/>
        </w:rPr>
      </w:pPr>
      <w:r w:rsidRPr="00851B65">
        <w:rPr>
          <w:rFonts w:ascii="Open Sans" w:hAnsi="Open Sans" w:cs="Open Sans"/>
          <w:i/>
        </w:rPr>
        <w:t xml:space="preserve">W przypadku, jeśli zastosowana będzie biomasa, powinna ona spełniać następujące warunki: biomasa pochodzenia leśnego i rolniczego, tj. różne formy drewna niepełnowartościowego, które nie spełnia wymagań jakościowych wymienionych w normach określających wymagania i badania dla drewna wielkowymiarowego liściastego, drewna wielkowymiarowego iglastego oraz drewna średniowymiarowego dla grup oznaczonych jako S1, S2, S3 oraz nie będąca materiałem drzewnym, powstałym w wyniku celowego rozdrobnienia tego drewna, różne </w:t>
      </w:r>
      <w:r w:rsidRPr="00851B65">
        <w:rPr>
          <w:rFonts w:ascii="Open Sans" w:hAnsi="Open Sans" w:cs="Open Sans"/>
          <w:i/>
        </w:rPr>
        <w:lastRenderedPageBreak/>
        <w:t xml:space="preserve">formy słomy, traw i roślin energetycznych, niepełnowartościowe ziarna zbóż. </w:t>
      </w:r>
      <w:r w:rsidR="00072DB8" w:rsidRPr="00851B65">
        <w:rPr>
          <w:rFonts w:ascii="Open Sans" w:hAnsi="Open Sans" w:cs="Open Sans"/>
          <w:i/>
        </w:rPr>
        <w:t>Kocioł na paliwo stałe powinien posiadać certyfikat zgodności z PN-EN 303-5, wydany przez właściwą akredytowaną jednostkę certyfikującą, nie starszy niż 5 lat i spełniać wymagania klasy 5 tej normy.</w:t>
      </w:r>
    </w:p>
    <w:p w14:paraId="35F2A077" w14:textId="1A55271C" w:rsidR="001B5ACC"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montaż / modernizacja / wymiana węzłów cieplnych;</w:t>
      </w:r>
    </w:p>
    <w:p w14:paraId="5E7B5AF6" w14:textId="1574C769" w:rsidR="001B5ACC"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zastosowanie urządzeń do produkcji ciepła lub energii elektrycznej z OZE</w:t>
      </w:r>
      <w:r w:rsidR="00814206" w:rsidRPr="00851B65">
        <w:rPr>
          <w:rStyle w:val="Odwoanieprzypisudolnego"/>
          <w:rFonts w:ascii="Open Sans" w:hAnsi="Open Sans" w:cs="Open Sans"/>
        </w:rPr>
        <w:footnoteReference w:id="7"/>
      </w:r>
      <w:r w:rsidRPr="008A1486">
        <w:rPr>
          <w:rFonts w:ascii="Open Sans" w:hAnsi="Open Sans" w:cs="Open Sans"/>
        </w:rPr>
        <w:t xml:space="preserve"> lub </w:t>
      </w:r>
      <w:r w:rsidR="00C251E7" w:rsidRPr="008A1486">
        <w:rPr>
          <w:rFonts w:ascii="Open Sans" w:hAnsi="Open Sans" w:cs="Open Sans"/>
        </w:rPr>
        <w:br/>
      </w:r>
      <w:r w:rsidRPr="008A1486">
        <w:rPr>
          <w:rFonts w:ascii="Open Sans" w:hAnsi="Open Sans" w:cs="Open Sans"/>
        </w:rPr>
        <w:t>w warunkach skojarzonej produkcji energii elektrycznej i ciepła, zastępująca w całości lub częściowo dotychczasowe źródło ciepła pod warunkiem, że wynika to z audytu energetycznego ex-ante opracowanego, w szczególności:</w:t>
      </w:r>
    </w:p>
    <w:p w14:paraId="3D5D6D2E" w14:textId="386E1654" w:rsidR="001B5ACC"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zastosowanie kolektorów słonecznych (wykorzystanie energii promieniowania słonecznego), jako źródła wspomagającego wytwarzanie ciepła</w:t>
      </w:r>
      <w:r w:rsidR="00814206" w:rsidRPr="00851B65">
        <w:rPr>
          <w:rStyle w:val="Odwoanieprzypisudolnego"/>
          <w:rFonts w:ascii="Open Sans" w:hAnsi="Open Sans" w:cs="Open Sans"/>
        </w:rPr>
        <w:footnoteReference w:id="8"/>
      </w:r>
      <w:r w:rsidRPr="008A1486">
        <w:rPr>
          <w:rFonts w:ascii="Open Sans" w:hAnsi="Open Sans" w:cs="Open Sans"/>
        </w:rPr>
        <w:t>;</w:t>
      </w:r>
    </w:p>
    <w:p w14:paraId="44324112" w14:textId="35B44C9D" w:rsidR="001B5ACC"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zastosowanie ogniw fotowoltaicznych (systemy PV - wykorzystanie energii promieniowania słonecznego);</w:t>
      </w:r>
    </w:p>
    <w:p w14:paraId="6F42269B" w14:textId="59146640" w:rsidR="001B5ACC"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 xml:space="preserve">zastosowanie urządzeń wykorzystujących energię geotermalną niskotemperaturową, </w:t>
      </w:r>
      <w:r w:rsidR="00C251E7" w:rsidRPr="008A1486">
        <w:rPr>
          <w:rFonts w:ascii="Open Sans" w:hAnsi="Open Sans" w:cs="Open Sans"/>
        </w:rPr>
        <w:br/>
      </w:r>
      <w:r w:rsidRPr="008A1486">
        <w:rPr>
          <w:rFonts w:ascii="Open Sans" w:hAnsi="Open Sans" w:cs="Open Sans"/>
        </w:rPr>
        <w:t>w tym przede wszystkim pomp ciepła</w:t>
      </w:r>
      <w:r w:rsidR="00814206" w:rsidRPr="00851B65">
        <w:rPr>
          <w:rStyle w:val="Odwoanieprzypisudolnego"/>
          <w:rFonts w:ascii="Open Sans" w:hAnsi="Open Sans" w:cs="Open Sans"/>
        </w:rPr>
        <w:footnoteReference w:id="9"/>
      </w:r>
      <w:r w:rsidRPr="008A1486">
        <w:rPr>
          <w:rFonts w:ascii="Open Sans" w:hAnsi="Open Sans" w:cs="Open Sans"/>
        </w:rPr>
        <w:t>;</w:t>
      </w:r>
    </w:p>
    <w:p w14:paraId="311545BD" w14:textId="653D79C3" w:rsidR="007B04A8" w:rsidRPr="008A1486" w:rsidRDefault="001B5ACC" w:rsidP="006230D1">
      <w:pPr>
        <w:pStyle w:val="Akapitzlist"/>
        <w:numPr>
          <w:ilvl w:val="2"/>
          <w:numId w:val="31"/>
        </w:numPr>
        <w:spacing w:line="288" w:lineRule="auto"/>
        <w:ind w:left="142"/>
        <w:rPr>
          <w:rFonts w:ascii="Open Sans" w:hAnsi="Open Sans" w:cs="Open Sans"/>
        </w:rPr>
      </w:pPr>
      <w:r w:rsidRPr="008A1486">
        <w:rPr>
          <w:rFonts w:ascii="Open Sans" w:hAnsi="Open Sans" w:cs="Open Sans"/>
        </w:rPr>
        <w:t xml:space="preserve">zastosowanie instalacji </w:t>
      </w:r>
      <w:proofErr w:type="spellStart"/>
      <w:r w:rsidRPr="008A1486">
        <w:rPr>
          <w:rFonts w:ascii="Open Sans" w:hAnsi="Open Sans" w:cs="Open Sans"/>
        </w:rPr>
        <w:t>mikrokogeneracji</w:t>
      </w:r>
      <w:proofErr w:type="spellEnd"/>
      <w:r w:rsidRPr="008A1486">
        <w:rPr>
          <w:rFonts w:ascii="Open Sans" w:hAnsi="Open Sans" w:cs="Open Sans"/>
        </w:rPr>
        <w:t xml:space="preserve"> lub </w:t>
      </w:r>
      <w:proofErr w:type="spellStart"/>
      <w:r w:rsidRPr="008A1486">
        <w:rPr>
          <w:rFonts w:ascii="Open Sans" w:hAnsi="Open Sans" w:cs="Open Sans"/>
        </w:rPr>
        <w:t>mikrotrigeneracji</w:t>
      </w:r>
      <w:proofErr w:type="spellEnd"/>
      <w:r w:rsidRPr="008A1486">
        <w:rPr>
          <w:rFonts w:ascii="Open Sans" w:hAnsi="Open Sans" w:cs="Open Sans"/>
        </w:rPr>
        <w:t xml:space="preserve"> na potrzeby własne.</w:t>
      </w:r>
    </w:p>
    <w:p w14:paraId="005286B1" w14:textId="42A88F73" w:rsidR="00814206" w:rsidRPr="00ED74F7" w:rsidRDefault="00814206" w:rsidP="006230D1">
      <w:pPr>
        <w:pStyle w:val="Akapitzlist"/>
        <w:numPr>
          <w:ilvl w:val="1"/>
          <w:numId w:val="5"/>
        </w:numPr>
        <w:spacing w:line="288" w:lineRule="auto"/>
        <w:ind w:left="284" w:hanging="284"/>
        <w:rPr>
          <w:rFonts w:ascii="Open Sans" w:hAnsi="Open Sans" w:cs="Open Sans"/>
          <w:b/>
          <w:bCs/>
        </w:rPr>
      </w:pPr>
      <w:r w:rsidRPr="00ED74F7">
        <w:rPr>
          <w:rFonts w:ascii="Open Sans" w:hAnsi="Open Sans" w:cs="Open Sans"/>
          <w:b/>
          <w:bCs/>
        </w:rPr>
        <w:t>Pozostałe prace związane z modernizacją/wymianą źródła energii:</w:t>
      </w:r>
    </w:p>
    <w:p w14:paraId="7905DA96" w14:textId="23990C22"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okładziny ceramiczne i malowanie pomieszczeń źródła ciepła;</w:t>
      </w:r>
    </w:p>
    <w:p w14:paraId="709FA5BA" w14:textId="7CDF7540"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przegrody okienne w pomieszczeniach źródła ciepła,</w:t>
      </w:r>
    </w:p>
    <w:p w14:paraId="37A5B4C0" w14:textId="1E6576E2"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lastRenderedPageBreak/>
        <w:t>instalacje elektryczne;</w:t>
      </w:r>
    </w:p>
    <w:p w14:paraId="6B13FE0B" w14:textId="39323AB3"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instalacje wentylacyjne;</w:t>
      </w:r>
    </w:p>
    <w:p w14:paraId="7905D318" w14:textId="1D9810E3"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instalacje kanalizacyjne;</w:t>
      </w:r>
    </w:p>
    <w:p w14:paraId="6F803D85" w14:textId="5AEC95B2"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instalacje przeciwpożarowe;</w:t>
      </w:r>
    </w:p>
    <w:p w14:paraId="25C5169F" w14:textId="10750247"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place składowe na paliwo, w tym pomieszczenia zbiorników na paliwo;</w:t>
      </w:r>
    </w:p>
    <w:p w14:paraId="15019C9E" w14:textId="37A0410C"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instalacja załadowcza paliwa i niezbędny sprzęt wyładowczo – załadowczy paliwa;</w:t>
      </w:r>
    </w:p>
    <w:p w14:paraId="79E21E7B" w14:textId="16BB5A22"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modernizacja / wymiana instalacji i armatury hydraulicznej;</w:t>
      </w:r>
    </w:p>
    <w:p w14:paraId="72B840A7" w14:textId="69840F51"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instalacja uzdatniania wody;</w:t>
      </w:r>
    </w:p>
    <w:p w14:paraId="21953D22" w14:textId="36277C94"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zastosowanie / wymiana układów automatycznego sterowania pracą instalacji;</w:t>
      </w:r>
    </w:p>
    <w:p w14:paraId="7556FB91" w14:textId="556EE147"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zastosowanie obiegów cyrkulacyjnych w źródle ciepła;</w:t>
      </w:r>
    </w:p>
    <w:p w14:paraId="24FDEF0D" w14:textId="40F68D0A"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zastosowanie gruntowych wymienników ciepła;</w:t>
      </w:r>
    </w:p>
    <w:p w14:paraId="3CC8857D" w14:textId="48535EFF"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wykonanie dolnego źródła ciepła wraz z pracami odtworzeniowymi;</w:t>
      </w:r>
    </w:p>
    <w:p w14:paraId="21DF32FD" w14:textId="0731CBA7" w:rsidR="00814206"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zakup i montaż urządzeń do magazynowania ciepła i energii elektrycznej (w tym zasobniki ciepła i akumulatory);</w:t>
      </w:r>
    </w:p>
    <w:p w14:paraId="4CEABE05" w14:textId="712BFD29" w:rsidR="007B04A8" w:rsidRPr="008A1486" w:rsidRDefault="00814206" w:rsidP="006230D1">
      <w:pPr>
        <w:pStyle w:val="Akapitzlist"/>
        <w:numPr>
          <w:ilvl w:val="2"/>
          <w:numId w:val="32"/>
        </w:numPr>
        <w:spacing w:line="288" w:lineRule="auto"/>
        <w:ind w:left="142"/>
        <w:rPr>
          <w:rFonts w:ascii="Open Sans" w:hAnsi="Open Sans" w:cs="Open Sans"/>
        </w:rPr>
      </w:pPr>
      <w:r w:rsidRPr="008A1486">
        <w:rPr>
          <w:rFonts w:ascii="Open Sans" w:hAnsi="Open Sans" w:cs="Open Sans"/>
        </w:rPr>
        <w:t xml:space="preserve">inne roboty budowlane w obrębie pomieszczenia źródła ciepła niezbędne dla prawidłowego funkcjonowania źródła ciepła lub wymagane przepisami, zgodnie </w:t>
      </w:r>
      <w:r w:rsidR="00C251E7" w:rsidRPr="008A1486">
        <w:rPr>
          <w:rFonts w:ascii="Open Sans" w:hAnsi="Open Sans" w:cs="Open Sans"/>
        </w:rPr>
        <w:br/>
      </w:r>
      <w:r w:rsidRPr="008A1486">
        <w:rPr>
          <w:rFonts w:ascii="Open Sans" w:hAnsi="Open Sans" w:cs="Open Sans"/>
        </w:rPr>
        <w:t>z dokumentacją projektową.</w:t>
      </w:r>
    </w:p>
    <w:p w14:paraId="26CE232A" w14:textId="51938E2F" w:rsidR="00814206" w:rsidRPr="00ED74F7" w:rsidRDefault="00814206" w:rsidP="006230D1">
      <w:pPr>
        <w:pStyle w:val="Akapitzlist"/>
        <w:numPr>
          <w:ilvl w:val="1"/>
          <w:numId w:val="5"/>
        </w:numPr>
        <w:spacing w:line="288" w:lineRule="auto"/>
        <w:ind w:left="426"/>
        <w:rPr>
          <w:rFonts w:ascii="Open Sans" w:hAnsi="Open Sans" w:cs="Open Sans"/>
          <w:b/>
          <w:bCs/>
        </w:rPr>
      </w:pPr>
      <w:r w:rsidRPr="00ED74F7">
        <w:rPr>
          <w:rFonts w:ascii="Open Sans" w:hAnsi="Open Sans" w:cs="Open Sans"/>
          <w:b/>
          <w:bCs/>
        </w:rPr>
        <w:t>Modernizacja instalacji ciepłej wody użytkowej</w:t>
      </w:r>
    </w:p>
    <w:p w14:paraId="4D27C7CA" w14:textId="4ABF58D9"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wymiana rurociągów i izolacji;</w:t>
      </w:r>
    </w:p>
    <w:p w14:paraId="0A287FCE" w14:textId="543CA579"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wymiana / zastosowanie izolacji termicznej przewodów instalacji c.w.u.;</w:t>
      </w:r>
    </w:p>
    <w:p w14:paraId="12BA2924" w14:textId="13DDB71F"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wyposażenie instalacji w system cyrkulacji c.w.u., w tych przypadkach, które są uzasadnione i wynikają z audytu energetycznego ex-ante;</w:t>
      </w:r>
    </w:p>
    <w:p w14:paraId="0AC9111D" w14:textId="5482392B"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zastosowanie sterowania czasowego instalacji cyrkulacyjnej,</w:t>
      </w:r>
    </w:p>
    <w:p w14:paraId="11916CD5" w14:textId="565C8098"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 xml:space="preserve">zastosowanie armatury regulacyjnej w zakresie regulacji hydraulicznej, w tym zaworów </w:t>
      </w:r>
      <w:proofErr w:type="spellStart"/>
      <w:r w:rsidRPr="008A1486">
        <w:rPr>
          <w:rFonts w:ascii="Open Sans" w:hAnsi="Open Sans" w:cs="Open Sans"/>
        </w:rPr>
        <w:t>podpionowych</w:t>
      </w:r>
      <w:proofErr w:type="spellEnd"/>
      <w:r w:rsidRPr="008A1486">
        <w:rPr>
          <w:rFonts w:ascii="Open Sans" w:hAnsi="Open Sans" w:cs="Open Sans"/>
        </w:rPr>
        <w:t>;</w:t>
      </w:r>
    </w:p>
    <w:p w14:paraId="1308E44C" w14:textId="5CA4CFFD"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wymiana / zastosowanie zbiorników c.w.u. oraz ich izolacja;</w:t>
      </w:r>
    </w:p>
    <w:p w14:paraId="572B04EF" w14:textId="60899823"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montaż / modernizacja / wymiana węzłów cieplnych dla potrzeb c.w.u.;</w:t>
      </w:r>
    </w:p>
    <w:p w14:paraId="6665136D" w14:textId="6AEC7917"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 xml:space="preserve">zastosowanie </w:t>
      </w:r>
      <w:proofErr w:type="spellStart"/>
      <w:r w:rsidRPr="008A1486">
        <w:rPr>
          <w:rFonts w:ascii="Open Sans" w:hAnsi="Open Sans" w:cs="Open Sans"/>
        </w:rPr>
        <w:t>perlatorów</w:t>
      </w:r>
      <w:proofErr w:type="spellEnd"/>
      <w:r w:rsidRPr="008A1486">
        <w:rPr>
          <w:rFonts w:ascii="Open Sans" w:hAnsi="Open Sans" w:cs="Open Sans"/>
        </w:rPr>
        <w:t xml:space="preserve"> oraz zaworów ograniczających ciśnienie, w tym kryz dławiących, jako reduktorów przepływu;</w:t>
      </w:r>
    </w:p>
    <w:p w14:paraId="4EA718FC" w14:textId="2E80E7DF"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zastosowanie baterii bezdotykowych lub jednouchwytowych,</w:t>
      </w:r>
    </w:p>
    <w:p w14:paraId="7B7653F5" w14:textId="5D144F8D"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zastosowanie baterii z ograniczonym czasem wypływu;</w:t>
      </w:r>
    </w:p>
    <w:p w14:paraId="057FEB19" w14:textId="07B1B92F"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zastosowanie nowoczesnej armatury czerpalnej sterowanej zjawiskiem fotokomórki (spłuczki ustępowe, baterie, itp.);</w:t>
      </w:r>
    </w:p>
    <w:p w14:paraId="176AD2C2" w14:textId="2759319F" w:rsidR="00814206" w:rsidRPr="008A1486"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liczniki ciepła lub zużycia wody na potrzeby c.w.u.;</w:t>
      </w:r>
    </w:p>
    <w:p w14:paraId="66427A25" w14:textId="31403255" w:rsidR="007B04A8" w:rsidRDefault="00814206" w:rsidP="006230D1">
      <w:pPr>
        <w:pStyle w:val="Akapitzlist"/>
        <w:numPr>
          <w:ilvl w:val="2"/>
          <w:numId w:val="33"/>
        </w:numPr>
        <w:spacing w:line="288" w:lineRule="auto"/>
        <w:ind w:left="142"/>
        <w:rPr>
          <w:rFonts w:ascii="Open Sans" w:hAnsi="Open Sans" w:cs="Open Sans"/>
        </w:rPr>
      </w:pPr>
      <w:r w:rsidRPr="008A1486">
        <w:rPr>
          <w:rFonts w:ascii="Open Sans" w:hAnsi="Open Sans" w:cs="Open Sans"/>
        </w:rPr>
        <w:t>wymiana instalacji zimnej wody w niezbędnym zakresie, związanym z modernizacją instalacji c.w.u.</w:t>
      </w:r>
    </w:p>
    <w:p w14:paraId="405A73B9" w14:textId="60FAD91F" w:rsidR="00814206" w:rsidRPr="00ED74F7" w:rsidRDefault="00814206" w:rsidP="006230D1">
      <w:pPr>
        <w:pStyle w:val="Akapitzlist"/>
        <w:numPr>
          <w:ilvl w:val="1"/>
          <w:numId w:val="5"/>
        </w:numPr>
        <w:spacing w:line="288" w:lineRule="auto"/>
        <w:ind w:left="284"/>
        <w:rPr>
          <w:rFonts w:ascii="Open Sans" w:hAnsi="Open Sans" w:cs="Open Sans"/>
          <w:b/>
          <w:bCs/>
        </w:rPr>
      </w:pPr>
      <w:r w:rsidRPr="00ED74F7">
        <w:rPr>
          <w:rFonts w:ascii="Open Sans" w:hAnsi="Open Sans" w:cs="Open Sans"/>
          <w:b/>
          <w:bCs/>
        </w:rPr>
        <w:lastRenderedPageBreak/>
        <w:t>Montaż/modernizacja instalacji wentylacji</w:t>
      </w:r>
      <w:r w:rsidRPr="00851B65">
        <w:rPr>
          <w:rStyle w:val="Odwoanieprzypisudolnego"/>
          <w:rFonts w:ascii="Open Sans" w:hAnsi="Open Sans" w:cs="Open Sans"/>
          <w:b/>
          <w:bCs/>
        </w:rPr>
        <w:footnoteReference w:id="10"/>
      </w:r>
      <w:r w:rsidRPr="00ED74F7">
        <w:rPr>
          <w:rFonts w:ascii="Open Sans" w:hAnsi="Open Sans" w:cs="Open Sans"/>
          <w:b/>
          <w:bCs/>
        </w:rPr>
        <w:t xml:space="preserve">  i klimatyzacji</w:t>
      </w:r>
    </w:p>
    <w:p w14:paraId="6916643C" w14:textId="45AB1A35"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zastosowanie wentylacji mechanicznej nawiewnej,</w:t>
      </w:r>
    </w:p>
    <w:p w14:paraId="1B103E72" w14:textId="74CAC20F"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zastosowanie wentylacji mechanicznej wywiewnej,</w:t>
      </w:r>
    </w:p>
    <w:p w14:paraId="59385D6D" w14:textId="53202850"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 xml:space="preserve">zastosowanie wentylacji mechanicznej </w:t>
      </w:r>
      <w:proofErr w:type="spellStart"/>
      <w:r w:rsidRPr="008A1486">
        <w:rPr>
          <w:rFonts w:ascii="Open Sans" w:hAnsi="Open Sans" w:cs="Open Sans"/>
        </w:rPr>
        <w:t>nawiewno</w:t>
      </w:r>
      <w:proofErr w:type="spellEnd"/>
      <w:r w:rsidRPr="008A1486">
        <w:rPr>
          <w:rFonts w:ascii="Open Sans" w:hAnsi="Open Sans" w:cs="Open Sans"/>
        </w:rPr>
        <w:t xml:space="preserve"> - wywiewnej,</w:t>
      </w:r>
    </w:p>
    <w:p w14:paraId="6264F969" w14:textId="7FB49393"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 xml:space="preserve">zastosowanie wentylacji mechanicznej </w:t>
      </w:r>
      <w:proofErr w:type="spellStart"/>
      <w:r w:rsidRPr="008A1486">
        <w:rPr>
          <w:rFonts w:ascii="Open Sans" w:hAnsi="Open Sans" w:cs="Open Sans"/>
        </w:rPr>
        <w:t>nawiewno</w:t>
      </w:r>
      <w:proofErr w:type="spellEnd"/>
      <w:r w:rsidRPr="008A1486">
        <w:rPr>
          <w:rFonts w:ascii="Open Sans" w:hAnsi="Open Sans" w:cs="Open Sans"/>
        </w:rPr>
        <w:t xml:space="preserve"> – wywiewnej z odzyskiem ciepła,</w:t>
      </w:r>
    </w:p>
    <w:p w14:paraId="47A9AD64" w14:textId="6AB1F370"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 xml:space="preserve">montaż nawiewników </w:t>
      </w:r>
      <w:proofErr w:type="spellStart"/>
      <w:r w:rsidRPr="008A1486">
        <w:rPr>
          <w:rFonts w:ascii="Open Sans" w:hAnsi="Open Sans" w:cs="Open Sans"/>
        </w:rPr>
        <w:t>higrosterowanych</w:t>
      </w:r>
      <w:proofErr w:type="spellEnd"/>
      <w:r w:rsidRPr="008A1486">
        <w:rPr>
          <w:rFonts w:ascii="Open Sans" w:hAnsi="Open Sans" w:cs="Open Sans"/>
        </w:rPr>
        <w:t>, automatycznych w oknach i kanałach wentylacyjnych,</w:t>
      </w:r>
    </w:p>
    <w:p w14:paraId="536DA86C" w14:textId="50E13141"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montaż nawiewników sterowanych ręcznie,</w:t>
      </w:r>
    </w:p>
    <w:p w14:paraId="30E321EF" w14:textId="1DDEE622"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zastosowanie wentylacji hybrydowej z układem automatyki sterującej;</w:t>
      </w:r>
    </w:p>
    <w:p w14:paraId="14999A7B" w14:textId="35FCE481"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system chłodzenia, w tym z wykorzystaniem zewnętrznej sieci ciepłowniczej;</w:t>
      </w:r>
    </w:p>
    <w:p w14:paraId="63C80D30" w14:textId="6D568A2D"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 xml:space="preserve">zastosowanie klimatyzacji, pod warunkiem, gdy w wyniku tego działania nastąpi optymalizacja zużycia energii, prowadząca do zmniejszenia emisji dwutlenku węgla, </w:t>
      </w:r>
      <w:r w:rsidR="00C251E7" w:rsidRPr="008A1486">
        <w:rPr>
          <w:rFonts w:ascii="Open Sans" w:hAnsi="Open Sans" w:cs="Open Sans"/>
        </w:rPr>
        <w:br/>
      </w:r>
      <w:r w:rsidRPr="008A1486">
        <w:rPr>
          <w:rFonts w:ascii="Open Sans" w:hAnsi="Open Sans" w:cs="Open Sans"/>
        </w:rPr>
        <w:t xml:space="preserve">w tym również w kierunku wykorzystania </w:t>
      </w:r>
      <w:r w:rsidR="00C51694" w:rsidRPr="008A1486">
        <w:rPr>
          <w:rFonts w:ascii="Open Sans" w:hAnsi="Open Sans" w:cs="Open Sans"/>
        </w:rPr>
        <w:t>OZE</w:t>
      </w:r>
      <w:r w:rsidRPr="008A1486">
        <w:rPr>
          <w:rFonts w:ascii="Open Sans" w:hAnsi="Open Sans" w:cs="Open Sans"/>
        </w:rPr>
        <w:t xml:space="preserve"> i (mikro) </w:t>
      </w:r>
      <w:proofErr w:type="spellStart"/>
      <w:r w:rsidRPr="008A1486">
        <w:rPr>
          <w:rFonts w:ascii="Open Sans" w:hAnsi="Open Sans" w:cs="Open Sans"/>
        </w:rPr>
        <w:t>trigeneracji</w:t>
      </w:r>
      <w:proofErr w:type="spellEnd"/>
      <w:r w:rsidRPr="008A1486">
        <w:rPr>
          <w:rFonts w:ascii="Open Sans" w:hAnsi="Open Sans" w:cs="Open Sans"/>
        </w:rPr>
        <w:t>;</w:t>
      </w:r>
    </w:p>
    <w:p w14:paraId="0CAEE699" w14:textId="114AFF13" w:rsidR="00814206"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stosowanie alternatywnych systemów chłodzenia i klimatyzacji np. materiały zmiennofazowe itp.;</w:t>
      </w:r>
    </w:p>
    <w:p w14:paraId="11B46390" w14:textId="73A57746" w:rsidR="007B04A8" w:rsidRPr="008A1486" w:rsidRDefault="00814206" w:rsidP="006230D1">
      <w:pPr>
        <w:pStyle w:val="Akapitzlist"/>
        <w:numPr>
          <w:ilvl w:val="2"/>
          <w:numId w:val="34"/>
        </w:numPr>
        <w:spacing w:line="288" w:lineRule="auto"/>
        <w:ind w:left="142"/>
        <w:rPr>
          <w:rFonts w:ascii="Open Sans" w:hAnsi="Open Sans" w:cs="Open Sans"/>
        </w:rPr>
      </w:pPr>
      <w:r w:rsidRPr="008A1486">
        <w:rPr>
          <w:rFonts w:ascii="Open Sans" w:hAnsi="Open Sans" w:cs="Open Sans"/>
        </w:rPr>
        <w:t>zastosowanie gruntowych wymienników ciepła.</w:t>
      </w:r>
    </w:p>
    <w:p w14:paraId="48BDF9B7" w14:textId="51273118" w:rsidR="00EA2EA1" w:rsidRPr="00ED74F7" w:rsidRDefault="00814206" w:rsidP="006230D1">
      <w:pPr>
        <w:pStyle w:val="Akapitzlist"/>
        <w:numPr>
          <w:ilvl w:val="1"/>
          <w:numId w:val="5"/>
        </w:numPr>
        <w:spacing w:line="288" w:lineRule="auto"/>
        <w:ind w:left="284"/>
        <w:rPr>
          <w:rFonts w:ascii="Open Sans" w:hAnsi="Open Sans" w:cs="Open Sans"/>
          <w:b/>
          <w:bCs/>
        </w:rPr>
      </w:pPr>
      <w:r w:rsidRPr="00ED74F7">
        <w:rPr>
          <w:rFonts w:ascii="Open Sans" w:hAnsi="Open Sans" w:cs="Open Sans"/>
          <w:b/>
          <w:bCs/>
        </w:rPr>
        <w:t>Prace przygotowawcze i roboty towarzyszące oraz inne koszty kwalifikowane</w:t>
      </w:r>
    </w:p>
    <w:p w14:paraId="1F799066" w14:textId="679358E2" w:rsidR="00814206" w:rsidRPr="00851B65" w:rsidRDefault="00814206" w:rsidP="00ED74F7">
      <w:pPr>
        <w:spacing w:line="288" w:lineRule="auto"/>
        <w:rPr>
          <w:rFonts w:ascii="Open Sans" w:hAnsi="Open Sans" w:cs="Open Sans"/>
          <w:b/>
          <w:bCs/>
        </w:rPr>
      </w:pPr>
      <w:r w:rsidRPr="00851B65">
        <w:rPr>
          <w:rFonts w:ascii="Open Sans" w:hAnsi="Open Sans" w:cs="Open Sans"/>
          <w:b/>
          <w:bCs/>
        </w:rPr>
        <w:t>Przygotowanie projektu:</w:t>
      </w:r>
    </w:p>
    <w:p w14:paraId="01C08BB8" w14:textId="5EF0ED4C" w:rsidR="00814206" w:rsidRPr="008A1486" w:rsidRDefault="00814206" w:rsidP="006230D1">
      <w:pPr>
        <w:pStyle w:val="Akapitzlist"/>
        <w:numPr>
          <w:ilvl w:val="2"/>
          <w:numId w:val="35"/>
        </w:numPr>
        <w:spacing w:line="288" w:lineRule="auto"/>
        <w:ind w:left="142"/>
        <w:rPr>
          <w:rFonts w:ascii="Open Sans" w:hAnsi="Open Sans" w:cs="Open Sans"/>
        </w:rPr>
      </w:pPr>
      <w:r w:rsidRPr="008A1486">
        <w:rPr>
          <w:rFonts w:ascii="Open Sans" w:hAnsi="Open Sans" w:cs="Open Sans"/>
        </w:rPr>
        <w:t>wykonanie studiów wykonalności inwestycji (jeśli jest wymagane np. w projektach systemowych);</w:t>
      </w:r>
    </w:p>
    <w:p w14:paraId="52BCCCD0" w14:textId="4A313F09" w:rsidR="00814206" w:rsidRPr="008A1486" w:rsidRDefault="00814206" w:rsidP="006230D1">
      <w:pPr>
        <w:pStyle w:val="Akapitzlist"/>
        <w:numPr>
          <w:ilvl w:val="2"/>
          <w:numId w:val="35"/>
        </w:numPr>
        <w:spacing w:line="288" w:lineRule="auto"/>
        <w:ind w:left="142"/>
        <w:rPr>
          <w:rFonts w:ascii="Open Sans" w:hAnsi="Open Sans" w:cs="Open Sans"/>
        </w:rPr>
      </w:pPr>
      <w:r w:rsidRPr="008A1486">
        <w:rPr>
          <w:rFonts w:ascii="Open Sans" w:hAnsi="Open Sans" w:cs="Open Sans"/>
        </w:rPr>
        <w:t>wykonanie raportów oddziaływania na środowisko (jeśli jest wymagane);</w:t>
      </w:r>
    </w:p>
    <w:p w14:paraId="300A1F88" w14:textId="261BD750" w:rsidR="00814206" w:rsidRPr="008A1486" w:rsidRDefault="00814206" w:rsidP="006230D1">
      <w:pPr>
        <w:pStyle w:val="Akapitzlist"/>
        <w:numPr>
          <w:ilvl w:val="2"/>
          <w:numId w:val="35"/>
        </w:numPr>
        <w:spacing w:line="288" w:lineRule="auto"/>
        <w:ind w:left="142"/>
        <w:rPr>
          <w:rFonts w:ascii="Open Sans" w:hAnsi="Open Sans" w:cs="Open Sans"/>
        </w:rPr>
      </w:pPr>
      <w:r w:rsidRPr="008A1486">
        <w:rPr>
          <w:rFonts w:ascii="Open Sans" w:hAnsi="Open Sans" w:cs="Open Sans"/>
        </w:rPr>
        <w:t>wykonanie audytu energetycznego ex-ante;</w:t>
      </w:r>
    </w:p>
    <w:p w14:paraId="0F687854" w14:textId="0487887E" w:rsidR="00814206" w:rsidRPr="008A1486" w:rsidRDefault="00814206" w:rsidP="006230D1">
      <w:pPr>
        <w:pStyle w:val="Akapitzlist"/>
        <w:numPr>
          <w:ilvl w:val="2"/>
          <w:numId w:val="35"/>
        </w:numPr>
        <w:spacing w:line="288" w:lineRule="auto"/>
        <w:ind w:left="142"/>
        <w:rPr>
          <w:rFonts w:ascii="Open Sans" w:hAnsi="Open Sans" w:cs="Open Sans"/>
        </w:rPr>
      </w:pPr>
      <w:r w:rsidRPr="008A1486">
        <w:rPr>
          <w:rFonts w:ascii="Open Sans" w:hAnsi="Open Sans" w:cs="Open Sans"/>
        </w:rPr>
        <w:t xml:space="preserve">wykonanie </w:t>
      </w:r>
      <w:r w:rsidR="007D5359" w:rsidRPr="008A1486">
        <w:rPr>
          <w:rFonts w:ascii="Open Sans" w:hAnsi="Open Sans" w:cs="Open Sans"/>
        </w:rPr>
        <w:t xml:space="preserve">niezbędnej </w:t>
      </w:r>
      <w:r w:rsidRPr="008A1486">
        <w:rPr>
          <w:rFonts w:ascii="Open Sans" w:hAnsi="Open Sans" w:cs="Open Sans"/>
        </w:rPr>
        <w:t>dokumentacji technicznej (projektów) związanych z planowaną kompleksową modernizacją energetyczną budynków (do kosztów kwalifikowanych zalicza się koszty związane z opracowaniem projektów budowlanych obejmujących prace dotyczące oszczędności energii);</w:t>
      </w:r>
    </w:p>
    <w:p w14:paraId="785A81F9" w14:textId="3AC19A75" w:rsidR="00814206" w:rsidRPr="008A1486" w:rsidRDefault="00814206" w:rsidP="00DC06B4">
      <w:pPr>
        <w:pStyle w:val="Akapitzlist"/>
        <w:numPr>
          <w:ilvl w:val="2"/>
          <w:numId w:val="35"/>
        </w:numPr>
        <w:spacing w:line="288" w:lineRule="auto"/>
        <w:ind w:left="141" w:hanging="181"/>
        <w:rPr>
          <w:rFonts w:ascii="Open Sans" w:hAnsi="Open Sans" w:cs="Open Sans"/>
        </w:rPr>
      </w:pPr>
      <w:r w:rsidRPr="008A1486">
        <w:rPr>
          <w:rFonts w:ascii="Open Sans" w:hAnsi="Open Sans" w:cs="Open Sans"/>
        </w:rPr>
        <w:t>inwentaryzacja budynku przeprowadzona przez przyrodnika</w:t>
      </w:r>
      <w:r w:rsidRPr="00851B65">
        <w:rPr>
          <w:rStyle w:val="Odwoanieprzypisudolnego"/>
          <w:rFonts w:ascii="Open Sans" w:hAnsi="Open Sans" w:cs="Open Sans"/>
        </w:rPr>
        <w:footnoteReference w:id="11"/>
      </w:r>
      <w:r w:rsidRPr="008A1486">
        <w:rPr>
          <w:rFonts w:ascii="Open Sans" w:hAnsi="Open Sans" w:cs="Open Sans"/>
        </w:rPr>
        <w:t>, która określi jakie gatunki ptaków i nietoperzy zasiedlają budynek i czy wymagane są</w:t>
      </w:r>
      <w:r w:rsidR="0003661D" w:rsidRPr="008A1486">
        <w:rPr>
          <w:rFonts w:ascii="Open Sans" w:hAnsi="Open Sans" w:cs="Open Sans"/>
        </w:rPr>
        <w:t>/będą ewentualne</w:t>
      </w:r>
      <w:r w:rsidRPr="008A1486">
        <w:rPr>
          <w:rFonts w:ascii="Open Sans" w:hAnsi="Open Sans" w:cs="Open Sans"/>
        </w:rPr>
        <w:t xml:space="preserve"> </w:t>
      </w:r>
      <w:r w:rsidRPr="008A1486">
        <w:rPr>
          <w:rFonts w:ascii="Open Sans" w:hAnsi="Open Sans" w:cs="Open Sans"/>
        </w:rPr>
        <w:lastRenderedPageBreak/>
        <w:t>zgody RDOŚ na odstępstwa od zakazów w stosunku do dziko występujących zwierząt objętych ochroną</w:t>
      </w:r>
      <w:r w:rsidR="0003661D" w:rsidRPr="008A1486">
        <w:rPr>
          <w:rFonts w:ascii="Open Sans" w:hAnsi="Open Sans" w:cs="Open Sans"/>
        </w:rPr>
        <w:t>. Co do zasady inwentaryzacja taka powinna być wykonana w okresie bezpośrednio poprzedzającym rozpoczęcie prac w termomodernizowanym budynku – z uwzględnieniem planowanego terminu wejścia Wykonawcy na budowę</w:t>
      </w:r>
      <w:r w:rsidR="002A09A5" w:rsidRPr="008A1486">
        <w:rPr>
          <w:rFonts w:ascii="Open Sans" w:hAnsi="Open Sans" w:cs="Open Sans"/>
        </w:rPr>
        <w:t xml:space="preserve"> i ogólnymi zasadami wykonywania inwentaryzacji przyrodniczych</w:t>
      </w:r>
      <w:r w:rsidR="0003661D" w:rsidRPr="008A1486">
        <w:rPr>
          <w:rFonts w:ascii="Open Sans" w:hAnsi="Open Sans" w:cs="Open Sans"/>
        </w:rPr>
        <w:t xml:space="preserve">. Prosimy o zapoznanie się z </w:t>
      </w:r>
      <w:r w:rsidR="002A09A5" w:rsidRPr="008A1486">
        <w:rPr>
          <w:rFonts w:ascii="Open Sans" w:hAnsi="Open Sans" w:cs="Open Sans"/>
        </w:rPr>
        <w:t>dostępnymi ogólnymi informacjami na ten temat dostępnych na stronie GDOŚ (Generalna Dyrekcja Ochrony Środowiska)</w:t>
      </w:r>
      <w:r w:rsidR="0003661D" w:rsidRPr="008A1486">
        <w:rPr>
          <w:rFonts w:ascii="Open Sans" w:hAnsi="Open Sans" w:cs="Open Sans"/>
        </w:rPr>
        <w:t xml:space="preserve">: </w:t>
      </w:r>
      <w:hyperlink r:id="rId8" w:history="1">
        <w:r w:rsidR="0003661D" w:rsidRPr="008A1486">
          <w:rPr>
            <w:rStyle w:val="Hipercze"/>
            <w:rFonts w:ascii="Open Sans" w:hAnsi="Open Sans" w:cs="Open Sans"/>
          </w:rPr>
          <w:t>https://www.gov.pl/web/gdos/Ochrona-ptakow-podczas-prac-termomodernizacyjnych</w:t>
        </w:r>
      </w:hyperlink>
      <w:r w:rsidR="002A09A5" w:rsidRPr="008A1486">
        <w:rPr>
          <w:rFonts w:ascii="Open Sans" w:hAnsi="Open Sans" w:cs="Open Sans"/>
        </w:rPr>
        <w:t>;</w:t>
      </w:r>
      <w:r w:rsidRPr="008A1486">
        <w:rPr>
          <w:rFonts w:ascii="Open Sans" w:hAnsi="Open Sans" w:cs="Open Sans"/>
        </w:rPr>
        <w:t>− wykonanie dokumentacji przetargowej, przy czym dokumentacja przetargowa powinna zawierać wymóg dla wykonawcy robót, aby prace modernizacyjne były spójne z zasadą DNSH, w szczególności aby realizacja działań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i urządzenia mający na celu zachowanie zasady DNSH.</w:t>
      </w:r>
    </w:p>
    <w:p w14:paraId="7745865E" w14:textId="6789216A" w:rsidR="00EA2EA1" w:rsidRPr="00851B65" w:rsidRDefault="00EA2EA1" w:rsidP="00ED74F7">
      <w:pPr>
        <w:spacing w:line="288" w:lineRule="auto"/>
        <w:rPr>
          <w:rFonts w:ascii="Open Sans" w:hAnsi="Open Sans" w:cs="Open Sans"/>
          <w:b/>
          <w:bCs/>
        </w:rPr>
      </w:pPr>
      <w:r w:rsidRPr="00851B65">
        <w:rPr>
          <w:rFonts w:ascii="Open Sans" w:hAnsi="Open Sans" w:cs="Open Sans"/>
          <w:b/>
          <w:bCs/>
        </w:rPr>
        <w:t>Roboty towarzyszące:</w:t>
      </w:r>
    </w:p>
    <w:p w14:paraId="4140C3FA" w14:textId="74850C02"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 xml:space="preserve">roboty związane z automatyką budynku (budynki inteligentne) – wyposażenie budynku w system czujników i detektorów oraz jeden, zintegrowany system zarządzania wszystkimi znajdującymi się w budynku instalacjami (w tym np. wyposażenie budynków w takie systemy jak BMS – </w:t>
      </w:r>
      <w:proofErr w:type="spellStart"/>
      <w:r w:rsidRPr="008A1486">
        <w:rPr>
          <w:rFonts w:ascii="Open Sans" w:hAnsi="Open Sans" w:cs="Open Sans"/>
        </w:rPr>
        <w:t>Building</w:t>
      </w:r>
      <w:proofErr w:type="spellEnd"/>
      <w:r w:rsidRPr="008A1486">
        <w:rPr>
          <w:rFonts w:ascii="Open Sans" w:hAnsi="Open Sans" w:cs="Open Sans"/>
        </w:rPr>
        <w:t xml:space="preserve"> Management System, LCN – system sterowania urządzeniami elektrycznymi, czy KNX – system sterowania budynkiem lub o podobnym zakresie działania),</w:t>
      </w:r>
    </w:p>
    <w:p w14:paraId="6CAB2329" w14:textId="10F0579C"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wykonywanie wszelkich robót poprawiających bilans energetyczny budynku, takich np. jak przeszklenia, werandy, ścianki akumulujące ciepło lub inne wskazane w audycie energetycznym ex-ante elementy budowlane zwiększające wykorzystanie zysków ciepła od nasłonecznienia, jak również elementy zacieniające, jeżeli wynika to z audytu energetycznego ex-ante;</w:t>
      </w:r>
    </w:p>
    <w:p w14:paraId="1014A447" w14:textId="79B5E3B9"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likwidacja mostków cieplnych (połączenia balkonu ze stropem, wieńce i nadproża, okna i parapety, ściany piwnic, attyka itp.);</w:t>
      </w:r>
    </w:p>
    <w:p w14:paraId="02EEFD8E" w14:textId="3665A4B1"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lastRenderedPageBreak/>
        <w:t>badanie termowizyjne w celu wstępnego określenia zakresu robót;</w:t>
      </w:r>
    </w:p>
    <w:p w14:paraId="03B52461" w14:textId="6909A2B6"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wymiana zewnętrznych parapetów okiennych i obróbek blacharskich w przypadku balkonów i loggii, łącznie z wykonaniem ocieplenia ścian zewnętrznych;</w:t>
      </w:r>
    </w:p>
    <w:p w14:paraId="7DEAE35C" w14:textId="61973184"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wymiana urządzeń energii pomocniczej na energooszczędne (wymiana pomp, wymiana napędów);</w:t>
      </w:r>
    </w:p>
    <w:p w14:paraId="3721317D" w14:textId="20ECF873"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wymiana wind na windy z napędami energooszczędnymi;</w:t>
      </w:r>
    </w:p>
    <w:p w14:paraId="0F746600" w14:textId="3B9CE86A"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przełożenie instalacji odgromowych (w tym odtworzenie);</w:t>
      </w:r>
    </w:p>
    <w:p w14:paraId="7F79BC74" w14:textId="73E73348"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wykończenie (gipsowanie, tynkowanie) ościeży w przypadku wymiany okien i drzwi,</w:t>
      </w:r>
    </w:p>
    <w:p w14:paraId="2FDCD111" w14:textId="350674EB"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naprawa lokalnych uszkodzeń tynków, podłóg oraz malowanie – w przypadku działań związanych z modernizacją (wymianą) instalacji wewnętrznych;</w:t>
      </w:r>
    </w:p>
    <w:p w14:paraId="3E044557" w14:textId="0BF7B622"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przystosowanie pomieszczeń w przypadku modernizacji kotłowni, czy instalacji węzła cieplnego;</w:t>
      </w:r>
    </w:p>
    <w:p w14:paraId="1BCAEA63" w14:textId="27F440EB"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wszelkie roboty związane z usuwaniem wilgoci i zabezpieczenie budynku przed tzw. wilgocią kapilarną;</w:t>
      </w:r>
    </w:p>
    <w:p w14:paraId="30CE2679" w14:textId="0EAA46B7"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zabezpieczenie placu budowy oraz doprowadzenie go do stanu użytkowania po zakończeniu robót budowlanych;</w:t>
      </w:r>
    </w:p>
    <w:p w14:paraId="6A67E1FF" w14:textId="645E37E7"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pozostałe prace uzupełniające i towarzyszące niezbędne do prawidłowej realizacji prac termomodernizacyjnych, uzyskania i utrzymania efektów ekologicznych i energetycznych przedsięwzięcia;</w:t>
      </w:r>
    </w:p>
    <w:p w14:paraId="2E55F171" w14:textId="6E529AE0"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 xml:space="preserve">prace związane z adaptacją budynku odnośnie nasilenia niekorzystnych skutków zmian klimatu, tj. wzrost wielkości opadów atmosferycznych, wzrost temperatur i wzrost ryzyka pożaru, w szczególności zapewnienie bezpieczeństwa pożarowego budynku poprzez dostosowanie do wymogów określonych w Rozporządzeniu Ministra Infrastruktury z dnia 12 kwietnia 2002 r. w sprawie warunków technicznych, jakim powinny odpowiadać budynki i ich usytuowanie z </w:t>
      </w:r>
      <w:proofErr w:type="spellStart"/>
      <w:r w:rsidRPr="008A1486">
        <w:rPr>
          <w:rFonts w:ascii="Open Sans" w:hAnsi="Open Sans" w:cs="Open Sans"/>
        </w:rPr>
        <w:t>późn</w:t>
      </w:r>
      <w:proofErr w:type="spellEnd"/>
      <w:r w:rsidRPr="008A1486">
        <w:rPr>
          <w:rFonts w:ascii="Open Sans" w:hAnsi="Open Sans" w:cs="Open Sans"/>
        </w:rPr>
        <w:t>. zmianami</w:t>
      </w:r>
      <w:r w:rsidRPr="00851B65">
        <w:rPr>
          <w:rStyle w:val="Odwoanieprzypisudolnego"/>
          <w:rFonts w:ascii="Open Sans" w:hAnsi="Open Sans" w:cs="Open Sans"/>
        </w:rPr>
        <w:footnoteReference w:id="12"/>
      </w:r>
      <w:r w:rsidRPr="008A1486">
        <w:rPr>
          <w:rFonts w:ascii="Open Sans" w:hAnsi="Open Sans" w:cs="Open Sans"/>
        </w:rPr>
        <w:t>, działania dostosowawcze w budynkach publicznych w zakresie przygotowania infrastruktury obiektu, pod kątem odporności na zagrożenie użycia broni kinetycznej, jak i tzw. ABC;</w:t>
      </w:r>
    </w:p>
    <w:p w14:paraId="321C54EB" w14:textId="6506B7C0" w:rsidR="00EA2EA1" w:rsidRPr="008A1486"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t>prace dotyczące zabezpieczenia budynku, przeprowadzone zgodnie z wytycznymi właściwego terytorialnie organu ochrony przyrody, przed zasiedleniem przez ptaki i nietoperze (likwidacja otworów i szczelin przed przystąpieniem do prac termomodernizacyjnych, wykonana na podstawie opinii RDOŚ  poza sezonem lęgowym ptaków oraz okresem przebywania nietoperzy);</w:t>
      </w:r>
    </w:p>
    <w:p w14:paraId="03F27F2F" w14:textId="79144F51" w:rsidR="00EA2EA1" w:rsidRDefault="00EA2EA1" w:rsidP="006230D1">
      <w:pPr>
        <w:pStyle w:val="Akapitzlist"/>
        <w:numPr>
          <w:ilvl w:val="2"/>
          <w:numId w:val="36"/>
        </w:numPr>
        <w:spacing w:line="288" w:lineRule="auto"/>
        <w:ind w:left="284" w:hanging="284"/>
        <w:rPr>
          <w:rFonts w:ascii="Open Sans" w:hAnsi="Open Sans" w:cs="Open Sans"/>
        </w:rPr>
      </w:pPr>
      <w:r w:rsidRPr="008A1486">
        <w:rPr>
          <w:rFonts w:ascii="Open Sans" w:hAnsi="Open Sans" w:cs="Open Sans"/>
        </w:rPr>
        <w:lastRenderedPageBreak/>
        <w:t>kompensacja utraconych miejsc gniazdowania ptaków lub miejsc ukrycia się nietoperzy, zalecona przez RDOŚ</w:t>
      </w:r>
      <w:r w:rsidRPr="00851B65">
        <w:rPr>
          <w:rStyle w:val="Odwoanieprzypisudolnego"/>
          <w:rFonts w:ascii="Open Sans" w:hAnsi="Open Sans" w:cs="Open Sans"/>
        </w:rPr>
        <w:footnoteReference w:id="13"/>
      </w:r>
      <w:r w:rsidRPr="008A1486">
        <w:rPr>
          <w:rFonts w:ascii="Open Sans" w:hAnsi="Open Sans" w:cs="Open Sans"/>
        </w:rPr>
        <w:t xml:space="preserve"> (np. zamontowanie na budynku odpowiednich budek lęgowych).</w:t>
      </w:r>
    </w:p>
    <w:p w14:paraId="0905F051" w14:textId="1EA2075F" w:rsidR="00EA2EA1" w:rsidRPr="00851B65" w:rsidRDefault="00EA2EA1" w:rsidP="00ED74F7">
      <w:pPr>
        <w:spacing w:line="288" w:lineRule="auto"/>
        <w:rPr>
          <w:rFonts w:ascii="Open Sans" w:hAnsi="Open Sans" w:cs="Open Sans"/>
          <w:b/>
          <w:bCs/>
        </w:rPr>
      </w:pPr>
      <w:r w:rsidRPr="00851B65">
        <w:rPr>
          <w:rFonts w:ascii="Open Sans" w:hAnsi="Open Sans" w:cs="Open Sans"/>
          <w:b/>
          <w:bCs/>
        </w:rPr>
        <w:t>Odbiór przedsięwzięcia polegającego na kompleksowej modernizacji energetycznej budynków oraz inne koszty kwalifikowane:</w:t>
      </w:r>
    </w:p>
    <w:p w14:paraId="285A3A0B" w14:textId="5E8C7DAF"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wykonanie audytu energetycznego ex-post, w tym badania i ocena uzyskanych efektów;</w:t>
      </w:r>
    </w:p>
    <w:p w14:paraId="2871834D" w14:textId="77777777"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Przez audyt energetyczny ex-post należy rozumieć raport zawierający:</w:t>
      </w:r>
    </w:p>
    <w:p w14:paraId="25C6E981" w14:textId="01244D3B"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tabele potwierdzające wykonanie efektów ekologicznych i energetycznych zgodnie z nomenklaturą naboru;</w:t>
      </w:r>
    </w:p>
    <w:p w14:paraId="5AF8CD1B" w14:textId="47E9E990"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zestawienie faktycznie wykonanych prac;</w:t>
      </w:r>
    </w:p>
    <w:p w14:paraId="15E17D72" w14:textId="1039C07E"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aktualizację karty audytu energetycznego wykonaną przez audytora wraz z obliczeniami wykonanymi zgodnie z metodyką przyjętą na etapie audytu ex-ante (wykonane dla  faktycznie zrealizowanych usprawnień na podstawie odebranej dokumentacji powykonawczej</w:t>
      </w:r>
      <w:r w:rsidR="00DC0E18" w:rsidRPr="008A1486">
        <w:rPr>
          <w:rFonts w:ascii="Open Sans" w:hAnsi="Open Sans" w:cs="Open Sans"/>
        </w:rPr>
        <w:t xml:space="preserve"> – jeśli mają różnice mają potencjalny wpływ na pogorszenie osiągnięcia wskaźników</w:t>
      </w:r>
      <w:r w:rsidRPr="008A1486">
        <w:rPr>
          <w:rFonts w:ascii="Open Sans" w:hAnsi="Open Sans" w:cs="Open Sans"/>
        </w:rPr>
        <w:t>);</w:t>
      </w:r>
    </w:p>
    <w:p w14:paraId="069642D4" w14:textId="45B40AB3" w:rsidR="00EA2EA1" w:rsidRPr="008A1486" w:rsidRDefault="00EA2EA1" w:rsidP="006230D1">
      <w:pPr>
        <w:pStyle w:val="Akapitzlist"/>
        <w:numPr>
          <w:ilvl w:val="2"/>
          <w:numId w:val="37"/>
        </w:numPr>
        <w:spacing w:line="288" w:lineRule="auto"/>
        <w:ind w:left="284"/>
        <w:rPr>
          <w:rFonts w:ascii="Open Sans" w:hAnsi="Open Sans" w:cs="Open Sans"/>
        </w:rPr>
      </w:pPr>
      <w:r w:rsidRPr="008A1486">
        <w:rPr>
          <w:rFonts w:ascii="Open Sans" w:hAnsi="Open Sans" w:cs="Open Sans"/>
        </w:rPr>
        <w:t>inne badania i opracowania o charakterze technicznym, jeżeli były niezbędne do potwierdzenia uzyskanego efektu energetycznego i ekologicznego, w tym próba szczelności budynku (przeprowadzona zgodnie z Polską Normą), badania termowizyjne budynków i instalacji (wraz z raportem z badań w formie raportu termograficznego) wykonane w odpowiednich warunkach, lecz nie później niż w ciągu jednego kwartału od zakończenia robót termomodernizacyjnych;</w:t>
      </w:r>
    </w:p>
    <w:p w14:paraId="4D8E6C46" w14:textId="1DA1C8FF" w:rsidR="00EA2EA1" w:rsidRPr="00851B65" w:rsidRDefault="00EA2EA1" w:rsidP="00ED74F7">
      <w:pPr>
        <w:spacing w:line="288" w:lineRule="auto"/>
        <w:rPr>
          <w:rFonts w:ascii="Open Sans" w:hAnsi="Open Sans" w:cs="Open Sans"/>
          <w:i/>
          <w:iCs/>
        </w:rPr>
      </w:pPr>
      <w:r w:rsidRPr="00851B65">
        <w:rPr>
          <w:rFonts w:ascii="Open Sans" w:hAnsi="Open Sans" w:cs="Open Sans"/>
          <w:i/>
          <w:iCs/>
        </w:rPr>
        <w:t>Koszty związane z badaniami są kwalifikowane wyłącznie, jeżeli są przeprowadzone zgodnie z zasadami przeprowadzenia badań określonych w normach PN-EN 13187 „Właściwości cieplne budynków – Jakościowa detekcja wad cieplnych w obudowie budynku – Metoda podczerwieni” oraz PN-EN 13829 „Właściwości cieplne budynków. Określenie przepuszczalności powietrznej budynków. Metoda pomiaru ciśnieniowego z użyciem wentylatora”.</w:t>
      </w:r>
    </w:p>
    <w:p w14:paraId="6BDC882D" w14:textId="77777777" w:rsidR="00EA2EA1" w:rsidRPr="00851B65" w:rsidRDefault="00EA2EA1" w:rsidP="00ED74F7">
      <w:pPr>
        <w:spacing w:line="288" w:lineRule="auto"/>
        <w:rPr>
          <w:rFonts w:ascii="Open Sans" w:hAnsi="Open Sans" w:cs="Open Sans"/>
          <w:i/>
          <w:iCs/>
        </w:rPr>
      </w:pPr>
      <w:r w:rsidRPr="00851B65">
        <w:rPr>
          <w:rFonts w:ascii="Open Sans" w:hAnsi="Open Sans" w:cs="Open Sans"/>
          <w:i/>
          <w:iCs/>
        </w:rPr>
        <w:t xml:space="preserve">Celem audytu energetycznego ex-post jest obliczenie efektu energetycznego i ekologicznego dla zakresu rzeczowego stanowiącego różnicę zakresów i oszacowanie jego wpływu na efekt dla całego projektu. Audyt energetyczny ex-post w części dotyczącej potwierdzenia efektu </w:t>
      </w:r>
      <w:r w:rsidRPr="00851B65">
        <w:rPr>
          <w:rFonts w:ascii="Open Sans" w:hAnsi="Open Sans" w:cs="Open Sans"/>
          <w:i/>
          <w:iCs/>
        </w:rPr>
        <w:lastRenderedPageBreak/>
        <w:t>energetycznego i ekologicznego (wraz ze wszystkimi niezbędnymi badaniami) jest kosztem kwalifikowanym.</w:t>
      </w:r>
    </w:p>
    <w:p w14:paraId="6C94F3B9" w14:textId="303E5F3A" w:rsidR="007B04A8" w:rsidRPr="00851B65" w:rsidRDefault="00EA2EA1" w:rsidP="00ED74F7">
      <w:pPr>
        <w:spacing w:line="288" w:lineRule="auto"/>
        <w:rPr>
          <w:rFonts w:ascii="Open Sans" w:hAnsi="Open Sans" w:cs="Open Sans"/>
          <w:i/>
          <w:iCs/>
        </w:rPr>
      </w:pPr>
      <w:r w:rsidRPr="00851B65">
        <w:rPr>
          <w:rFonts w:ascii="Open Sans" w:hAnsi="Open Sans" w:cs="Open Sans"/>
          <w:i/>
          <w:iCs/>
        </w:rPr>
        <w:t>W przypadku jeżeli zakres rzeczowy faktycznie wykonany w ramach głębokiej kompleksowej modernizacji energetycznej budynków (przedsięwzięcia termomodernizacyjnego) różni się od zakresu rzeczowego zaplanowanego do wykonania w audycie energetycznym na etapie ex-ante, to (po wykonaniu przedsięwzięcia) należy wykonać audyt energetyczny  według tej samej metodologii, która była stosowana na etapie ex-ante. W przypadku, gdy w trakcie realizacji nastąpi zmiana zakresu rzeczowego w stopniu wymuszającym opracowanie dodatkowego audytu energetycznego, to koszt takiego audytu co do zasady nie jest kwalifikowany chyba, że zmiana zakresu wynika z przyczyn niezależnych od wnioskodawcy i ujętych w protokole konieczności.</w:t>
      </w:r>
    </w:p>
    <w:p w14:paraId="34E4ED2B" w14:textId="01C01719" w:rsidR="00C43282" w:rsidRPr="00851B65" w:rsidRDefault="00C43282" w:rsidP="00ED74F7">
      <w:pPr>
        <w:spacing w:line="288" w:lineRule="auto"/>
        <w:rPr>
          <w:rFonts w:ascii="Open Sans" w:hAnsi="Open Sans" w:cs="Open Sans"/>
          <w:i/>
          <w:iCs/>
        </w:rPr>
      </w:pPr>
      <w:r w:rsidRPr="00851B65">
        <w:rPr>
          <w:rFonts w:ascii="Open Sans" w:hAnsi="Open Sans" w:cs="Open Sans"/>
          <w:i/>
          <w:iCs/>
        </w:rPr>
        <w:br w:type="page"/>
      </w:r>
    </w:p>
    <w:p w14:paraId="7C1C972E" w14:textId="33BA7AF7" w:rsidR="00510D38" w:rsidRPr="008A1486" w:rsidRDefault="00510D38" w:rsidP="008A1486">
      <w:pPr>
        <w:pStyle w:val="Akapitzlist"/>
        <w:numPr>
          <w:ilvl w:val="0"/>
          <w:numId w:val="7"/>
        </w:numPr>
        <w:pBdr>
          <w:top w:val="single" w:sz="4" w:space="1" w:color="auto"/>
          <w:left w:val="single" w:sz="4" w:space="4" w:color="auto"/>
          <w:bottom w:val="single" w:sz="4" w:space="1" w:color="auto"/>
          <w:right w:val="single" w:sz="4" w:space="4" w:color="auto"/>
        </w:pBdr>
        <w:spacing w:line="288" w:lineRule="auto"/>
        <w:ind w:left="142" w:firstLine="426"/>
        <w:rPr>
          <w:rFonts w:ascii="Open Sans" w:hAnsi="Open Sans" w:cs="Open Sans"/>
          <w:b/>
          <w:bCs/>
        </w:rPr>
      </w:pPr>
      <w:r w:rsidRPr="008A1486">
        <w:rPr>
          <w:rFonts w:ascii="Open Sans" w:hAnsi="Open Sans" w:cs="Open Sans"/>
          <w:b/>
          <w:bCs/>
        </w:rPr>
        <w:lastRenderedPageBreak/>
        <w:t>Realizacja projektu zgodnie z zasadą DNSH</w:t>
      </w:r>
    </w:p>
    <w:p w14:paraId="3FAE825E" w14:textId="5DA19396" w:rsidR="00400546" w:rsidRPr="00851B65" w:rsidRDefault="00400546" w:rsidP="00ED74F7">
      <w:pPr>
        <w:spacing w:line="288" w:lineRule="auto"/>
        <w:rPr>
          <w:rFonts w:ascii="Open Sans" w:hAnsi="Open Sans" w:cs="Open Sans"/>
        </w:rPr>
      </w:pPr>
      <w:r w:rsidRPr="00851B65">
        <w:rPr>
          <w:rFonts w:ascii="Open Sans" w:hAnsi="Open Sans" w:cs="Open Sans"/>
        </w:rPr>
        <w:t>Przed rozpoczęciem inwestycji termomodernizacyjnej, współfinansowanej ze środków europejskich, prosimy o zapoznanie się z opracowaniem: „Zgodność przedsięwzięć finansowanych ze środków Unii Europejskiej, w tym realizowanych w ramach Krajowego Planu Odbudowy i Zwiększania Odporności, z zasadą „nie czyń znaczącej szkody” - zasadą DNSH - PODRĘCZNIK DLA BENEFICJENTA”</w:t>
      </w:r>
      <w:r w:rsidR="002624B9" w:rsidRPr="00851B65">
        <w:rPr>
          <w:rFonts w:ascii="Open Sans" w:hAnsi="Open Sans" w:cs="Open Sans"/>
        </w:rPr>
        <w:t xml:space="preserve"> oraz </w:t>
      </w:r>
      <w:r w:rsidR="002624B9" w:rsidRPr="00851B65">
        <w:rPr>
          <w:rStyle w:val="Hipercze"/>
          <w:rFonts w:ascii="Open Sans" w:hAnsi="Open Sans" w:cs="Open Sans"/>
          <w:color w:val="auto"/>
          <w:u w:val="none"/>
        </w:rPr>
        <w:t>z Analizą spełniania zasady „nie czyń poważnej szkody” (DNSH), w rozumieniu art. 17 rozporządzenia (UE) nr 2020/852 dla projektu dokumentu pn. Fundusze Europejskie na Infrastrukturę, Klimat, Środowisko 2021-2027</w:t>
      </w:r>
      <w:r w:rsidRPr="00851B65">
        <w:rPr>
          <w:rFonts w:ascii="Open Sans" w:hAnsi="Open Sans" w:cs="Open Sans"/>
        </w:rPr>
        <w:t>, dostępny</w:t>
      </w:r>
      <w:r w:rsidR="002624B9" w:rsidRPr="00851B65">
        <w:rPr>
          <w:rFonts w:ascii="Open Sans" w:hAnsi="Open Sans" w:cs="Open Sans"/>
        </w:rPr>
        <w:t>ch</w:t>
      </w:r>
      <w:r w:rsidRPr="00851B65">
        <w:rPr>
          <w:rFonts w:ascii="Open Sans" w:hAnsi="Open Sans" w:cs="Open Sans"/>
        </w:rPr>
        <w:t xml:space="preserve"> na stronach:</w:t>
      </w:r>
    </w:p>
    <w:p w14:paraId="2A22675E" w14:textId="62A89FE6" w:rsidR="00D15A04" w:rsidRPr="00851B65" w:rsidRDefault="00400546" w:rsidP="00ED74F7">
      <w:pPr>
        <w:spacing w:line="288" w:lineRule="auto"/>
        <w:rPr>
          <w:rStyle w:val="Hipercze"/>
          <w:rFonts w:ascii="Open Sans" w:hAnsi="Open Sans" w:cs="Open Sans"/>
          <w:color w:val="auto"/>
        </w:rPr>
      </w:pPr>
      <w:hyperlink r:id="rId9" w:history="1">
        <w:r w:rsidRPr="00851B65">
          <w:rPr>
            <w:rStyle w:val="Hipercze"/>
            <w:rFonts w:ascii="Open Sans" w:hAnsi="Open Sans" w:cs="Open Sans"/>
            <w:color w:val="auto"/>
          </w:rPr>
          <w:t>https://www.gov.pl/web/planodbudowy/dnsh2</w:t>
        </w:r>
      </w:hyperlink>
    </w:p>
    <w:p w14:paraId="20C474C4" w14:textId="77777777" w:rsidR="002624B9" w:rsidRPr="00851B65" w:rsidRDefault="00D15A04" w:rsidP="00ED74F7">
      <w:pPr>
        <w:spacing w:line="288" w:lineRule="auto"/>
        <w:rPr>
          <w:rStyle w:val="Hipercze"/>
          <w:rFonts w:ascii="Open Sans" w:hAnsi="Open Sans" w:cs="Open Sans"/>
          <w:color w:val="auto"/>
          <w:u w:val="none"/>
        </w:rPr>
      </w:pPr>
      <w:r w:rsidRPr="00851B65">
        <w:rPr>
          <w:rStyle w:val="Hipercze"/>
          <w:rFonts w:ascii="Open Sans" w:hAnsi="Open Sans" w:cs="Open Sans"/>
          <w:color w:val="auto"/>
          <w:u w:val="none"/>
        </w:rPr>
        <w:t>oraz</w:t>
      </w:r>
    </w:p>
    <w:p w14:paraId="24CC2019" w14:textId="28FD7D8B" w:rsidR="00400546" w:rsidRPr="00851B65" w:rsidRDefault="0067036F" w:rsidP="00ED74F7">
      <w:pPr>
        <w:spacing w:line="288" w:lineRule="auto"/>
        <w:rPr>
          <w:rFonts w:ascii="Open Sans" w:hAnsi="Open Sans" w:cs="Open Sans"/>
        </w:rPr>
      </w:pPr>
      <w:r w:rsidRPr="00851B65">
        <w:rPr>
          <w:rStyle w:val="Hipercze"/>
          <w:rFonts w:ascii="Open Sans" w:hAnsi="Open Sans" w:cs="Open Sans"/>
          <w:color w:val="auto"/>
        </w:rPr>
        <w:t>https://www.pois.gov.pl/media/108045/ocena_DNSH_FEnIKS_2021-2027.pdf</w:t>
      </w:r>
    </w:p>
    <w:p w14:paraId="10F69C2D" w14:textId="77777777" w:rsidR="00BC04E1" w:rsidRPr="00851B65" w:rsidRDefault="00400546" w:rsidP="00ED74F7">
      <w:pPr>
        <w:spacing w:line="288" w:lineRule="auto"/>
        <w:rPr>
          <w:rFonts w:ascii="Open Sans" w:hAnsi="Open Sans" w:cs="Open Sans"/>
        </w:rPr>
      </w:pPr>
      <w:r w:rsidRPr="00851B65">
        <w:rPr>
          <w:rFonts w:ascii="Open Sans" w:hAnsi="Open Sans" w:cs="Open Sans"/>
        </w:rPr>
        <w:t xml:space="preserve">W oparciu o ogólne zapisy „Podręcznika Beneficjenta” NFOŚiGW zaleca, aby na jak najwcześniejszym etapie inwestycji (np. na etapie opracowywania dokumentacji </w:t>
      </w:r>
      <w:r w:rsidR="00F14941" w:rsidRPr="00851B65">
        <w:rPr>
          <w:rFonts w:ascii="Open Sans" w:hAnsi="Open Sans" w:cs="Open Sans"/>
        </w:rPr>
        <w:t xml:space="preserve">budowlanej, </w:t>
      </w:r>
      <w:r w:rsidRPr="00851B65">
        <w:rPr>
          <w:rFonts w:ascii="Open Sans" w:hAnsi="Open Sans" w:cs="Open Sans"/>
        </w:rPr>
        <w:t xml:space="preserve">technicznej, przetargowej, przedmiaru prac itp.) </w:t>
      </w:r>
      <w:r w:rsidR="00F14941" w:rsidRPr="00851B65">
        <w:rPr>
          <w:rFonts w:ascii="Open Sans" w:hAnsi="Open Sans" w:cs="Open Sans"/>
        </w:rPr>
        <w:t xml:space="preserve">przewidzieć i </w:t>
      </w:r>
      <w:r w:rsidRPr="00851B65">
        <w:rPr>
          <w:rFonts w:ascii="Open Sans" w:hAnsi="Open Sans" w:cs="Open Sans"/>
        </w:rPr>
        <w:t xml:space="preserve">zobowiązać ewentualnego przyszłego </w:t>
      </w:r>
      <w:r w:rsidR="001F5AED" w:rsidRPr="00851B65">
        <w:rPr>
          <w:rFonts w:ascii="Open Sans" w:hAnsi="Open Sans" w:cs="Open Sans"/>
        </w:rPr>
        <w:t>w</w:t>
      </w:r>
      <w:r w:rsidRPr="00851B65">
        <w:rPr>
          <w:rFonts w:ascii="Open Sans" w:hAnsi="Open Sans" w:cs="Open Sans"/>
        </w:rPr>
        <w:t>ykonawcę prac, realizacji Przedsięwzięcia zgodnie z zasadami DNSH</w:t>
      </w:r>
      <w:r w:rsidR="00B7277F" w:rsidRPr="00851B65">
        <w:rPr>
          <w:rFonts w:ascii="Open Sans" w:hAnsi="Open Sans" w:cs="Open Sans"/>
        </w:rPr>
        <w:t xml:space="preserve">. Z poziomu każdej inwestycji </w:t>
      </w:r>
      <w:r w:rsidRPr="00851B65">
        <w:rPr>
          <w:rFonts w:ascii="Open Sans" w:hAnsi="Open Sans" w:cs="Open Sans"/>
        </w:rPr>
        <w:t>z uwzględnieniem</w:t>
      </w:r>
      <w:r w:rsidR="00F14941" w:rsidRPr="00851B65">
        <w:rPr>
          <w:rFonts w:ascii="Open Sans" w:hAnsi="Open Sans" w:cs="Open Sans"/>
        </w:rPr>
        <w:t xml:space="preserve"> wskazanego</w:t>
      </w:r>
      <w:r w:rsidRPr="00851B65">
        <w:rPr>
          <w:rFonts w:ascii="Open Sans" w:hAnsi="Open Sans" w:cs="Open Sans"/>
        </w:rPr>
        <w:t xml:space="preserve"> zakresu prac i </w:t>
      </w:r>
      <w:r w:rsidR="001F5AED" w:rsidRPr="00851B65">
        <w:rPr>
          <w:rFonts w:ascii="Open Sans" w:hAnsi="Open Sans" w:cs="Open Sans"/>
        </w:rPr>
        <w:t xml:space="preserve">jej </w:t>
      </w:r>
      <w:r w:rsidRPr="00851B65">
        <w:rPr>
          <w:rFonts w:ascii="Open Sans" w:hAnsi="Open Sans" w:cs="Open Sans"/>
        </w:rPr>
        <w:t>charakteru</w:t>
      </w:r>
      <w:r w:rsidR="001F5AED" w:rsidRPr="00851B65">
        <w:rPr>
          <w:rFonts w:ascii="Open Sans" w:hAnsi="Open Sans" w:cs="Open Sans"/>
        </w:rPr>
        <w:t xml:space="preserve"> należy</w:t>
      </w:r>
      <w:r w:rsidR="00B7277F" w:rsidRPr="00851B65">
        <w:rPr>
          <w:rFonts w:ascii="Open Sans" w:hAnsi="Open Sans" w:cs="Open Sans"/>
        </w:rPr>
        <w:t xml:space="preserve"> określić wykaz dokumentów</w:t>
      </w:r>
      <w:r w:rsidR="001F5AED" w:rsidRPr="00851B65">
        <w:rPr>
          <w:rFonts w:ascii="Open Sans" w:hAnsi="Open Sans" w:cs="Open Sans"/>
        </w:rPr>
        <w:t>,</w:t>
      </w:r>
      <w:r w:rsidR="00B7277F" w:rsidRPr="00851B65">
        <w:rPr>
          <w:rFonts w:ascii="Open Sans" w:hAnsi="Open Sans" w:cs="Open Sans"/>
        </w:rPr>
        <w:t xml:space="preserve"> będących przedmiotem okresowego raportowania (minimum raz na rok)</w:t>
      </w:r>
      <w:r w:rsidR="001F5AED" w:rsidRPr="00851B65">
        <w:rPr>
          <w:rFonts w:ascii="Open Sans" w:hAnsi="Open Sans" w:cs="Open Sans"/>
        </w:rPr>
        <w:t>,</w:t>
      </w:r>
      <w:r w:rsidR="00B7277F" w:rsidRPr="00851B65">
        <w:rPr>
          <w:rFonts w:ascii="Open Sans" w:hAnsi="Open Sans" w:cs="Open Sans"/>
        </w:rPr>
        <w:t xml:space="preserve"> </w:t>
      </w:r>
      <w:r w:rsidR="001F5AED" w:rsidRPr="00851B65">
        <w:rPr>
          <w:rFonts w:ascii="Open Sans" w:hAnsi="Open Sans" w:cs="Open Sans"/>
        </w:rPr>
        <w:t xml:space="preserve">weryfikacji </w:t>
      </w:r>
      <w:r w:rsidR="00B7277F" w:rsidRPr="00851B65">
        <w:rPr>
          <w:rFonts w:ascii="Open Sans" w:hAnsi="Open Sans" w:cs="Open Sans"/>
        </w:rPr>
        <w:t xml:space="preserve">i prowadzonego od </w:t>
      </w:r>
      <w:r w:rsidR="00BC04E1" w:rsidRPr="00851B65">
        <w:rPr>
          <w:rFonts w:ascii="Open Sans" w:hAnsi="Open Sans" w:cs="Open Sans"/>
        </w:rPr>
        <w:t>przygotowania</w:t>
      </w:r>
      <w:r w:rsidR="00B7277F" w:rsidRPr="00851B65">
        <w:rPr>
          <w:rFonts w:ascii="Open Sans" w:hAnsi="Open Sans" w:cs="Open Sans"/>
        </w:rPr>
        <w:t xml:space="preserve"> inwestycji</w:t>
      </w:r>
      <w:r w:rsidR="001F5AED" w:rsidRPr="00851B65">
        <w:rPr>
          <w:rFonts w:ascii="Open Sans" w:hAnsi="Open Sans" w:cs="Open Sans"/>
        </w:rPr>
        <w:t>,</w:t>
      </w:r>
      <w:r w:rsidR="00BC04E1" w:rsidRPr="00851B65">
        <w:rPr>
          <w:rFonts w:ascii="Open Sans" w:hAnsi="Open Sans" w:cs="Open Sans"/>
        </w:rPr>
        <w:t xml:space="preserve"> przez realizację,</w:t>
      </w:r>
      <w:r w:rsidR="00B7277F" w:rsidRPr="00851B65">
        <w:rPr>
          <w:rFonts w:ascii="Open Sans" w:hAnsi="Open Sans" w:cs="Open Sans"/>
        </w:rPr>
        <w:t xml:space="preserve"> aż do jej zakończenia</w:t>
      </w:r>
      <w:r w:rsidR="001F5AED" w:rsidRPr="00851B65">
        <w:rPr>
          <w:rFonts w:ascii="Open Sans" w:hAnsi="Open Sans" w:cs="Open Sans"/>
        </w:rPr>
        <w:t>. Wykaz proponowanych dokumentów jest wymagany d</w:t>
      </w:r>
      <w:r w:rsidR="00BC04E1" w:rsidRPr="00851B65">
        <w:rPr>
          <w:rFonts w:ascii="Open Sans" w:hAnsi="Open Sans" w:cs="Open Sans"/>
        </w:rPr>
        <w:t>la inwestycji współfinansowanych z Programu Fundusze Europejskie na Infrastrukturę, Klimat, Środowisko 2021-2027</w:t>
      </w:r>
      <w:r w:rsidRPr="00851B65">
        <w:rPr>
          <w:rFonts w:ascii="Open Sans" w:hAnsi="Open Sans" w:cs="Open Sans"/>
        </w:rPr>
        <w:t>.</w:t>
      </w:r>
    </w:p>
    <w:p w14:paraId="3226B6AF" w14:textId="5FD21EB9" w:rsidR="00510D38" w:rsidRPr="00851B65" w:rsidRDefault="00400546" w:rsidP="00ED74F7">
      <w:pPr>
        <w:spacing w:line="288" w:lineRule="auto"/>
        <w:rPr>
          <w:rFonts w:ascii="Open Sans" w:hAnsi="Open Sans" w:cs="Open Sans"/>
        </w:rPr>
      </w:pPr>
      <w:r w:rsidRPr="00851B65">
        <w:rPr>
          <w:rFonts w:ascii="Open Sans" w:hAnsi="Open Sans" w:cs="Open Sans"/>
        </w:rPr>
        <w:t>NFOŚiGW zaleca</w:t>
      </w:r>
      <w:r w:rsidR="001F5AED" w:rsidRPr="00851B65">
        <w:rPr>
          <w:rFonts w:ascii="Open Sans" w:hAnsi="Open Sans" w:cs="Open Sans"/>
        </w:rPr>
        <w:t>,</w:t>
      </w:r>
      <w:r w:rsidRPr="00851B65">
        <w:rPr>
          <w:rFonts w:ascii="Open Sans" w:hAnsi="Open Sans" w:cs="Open Sans"/>
        </w:rPr>
        <w:t xml:space="preserve"> aby </w:t>
      </w:r>
      <w:r w:rsidR="00F14941" w:rsidRPr="00851B65">
        <w:rPr>
          <w:rFonts w:ascii="Open Sans" w:hAnsi="Open Sans" w:cs="Open Sans"/>
        </w:rPr>
        <w:t xml:space="preserve">dla inwestycji termomodernizacyjnych, </w:t>
      </w:r>
      <w:r w:rsidRPr="00851B65">
        <w:rPr>
          <w:rFonts w:ascii="Open Sans" w:hAnsi="Open Sans" w:cs="Open Sans"/>
        </w:rPr>
        <w:t xml:space="preserve">w sposób dopasowany do docelowego scenariusza realizacyjnego, </w:t>
      </w:r>
      <w:r w:rsidR="000E302C" w:rsidRPr="00851B65">
        <w:rPr>
          <w:rFonts w:ascii="Open Sans" w:hAnsi="Open Sans" w:cs="Open Sans"/>
        </w:rPr>
        <w:t>przyjęto do rozważenia przygotowanie</w:t>
      </w:r>
      <w:r w:rsidR="002624B9" w:rsidRPr="00851B65">
        <w:rPr>
          <w:rFonts w:ascii="Open Sans" w:hAnsi="Open Sans" w:cs="Open Sans"/>
        </w:rPr>
        <w:t xml:space="preserve"> </w:t>
      </w:r>
      <w:r w:rsidR="00B7277F" w:rsidRPr="00851B65">
        <w:rPr>
          <w:rFonts w:ascii="Open Sans" w:hAnsi="Open Sans" w:cs="Open Sans"/>
        </w:rPr>
        <w:t xml:space="preserve">i zobowiązanie projektantów/inspektorów nadzoru/wykonawców </w:t>
      </w:r>
      <w:r w:rsidR="001F5AED" w:rsidRPr="00851B65">
        <w:rPr>
          <w:rFonts w:ascii="Open Sans" w:hAnsi="Open Sans" w:cs="Open Sans"/>
        </w:rPr>
        <w:t>udokumentowania realizacji inwestycji zgodnie z zasadami DNSH na podstawie</w:t>
      </w:r>
      <w:r w:rsidR="00B7277F" w:rsidRPr="00851B65">
        <w:rPr>
          <w:rFonts w:ascii="Open Sans" w:hAnsi="Open Sans" w:cs="Open Sans"/>
        </w:rPr>
        <w:t xml:space="preserve"> </w:t>
      </w:r>
      <w:r w:rsidR="002624B9" w:rsidRPr="00851B65">
        <w:rPr>
          <w:rFonts w:ascii="Open Sans" w:hAnsi="Open Sans" w:cs="Open Sans"/>
        </w:rPr>
        <w:t>m.in.</w:t>
      </w:r>
      <w:r w:rsidR="00B7277F" w:rsidRPr="00851B65">
        <w:rPr>
          <w:rFonts w:ascii="Open Sans" w:hAnsi="Open Sans" w:cs="Open Sans"/>
        </w:rPr>
        <w:t xml:space="preserve"> poniższych dokumentów</w:t>
      </w:r>
      <w:r w:rsidRPr="00851B65">
        <w:rPr>
          <w:rFonts w:ascii="Open Sans" w:hAnsi="Open Sans" w:cs="Open Sans"/>
        </w:rPr>
        <w:t>:</w:t>
      </w:r>
    </w:p>
    <w:p w14:paraId="6FE0B725" w14:textId="1529BB3B" w:rsidR="00510D38" w:rsidRPr="008A1486" w:rsidRDefault="00510D38" w:rsidP="006230D1">
      <w:pPr>
        <w:pStyle w:val="Akapitzlist"/>
        <w:numPr>
          <w:ilvl w:val="2"/>
          <w:numId w:val="5"/>
        </w:numPr>
        <w:spacing w:line="288" w:lineRule="auto"/>
        <w:ind w:left="142"/>
        <w:rPr>
          <w:rFonts w:ascii="Open Sans" w:hAnsi="Open Sans" w:cs="Open Sans"/>
        </w:rPr>
      </w:pPr>
      <w:r w:rsidRPr="008A1486">
        <w:rPr>
          <w:rFonts w:ascii="Open Sans" w:hAnsi="Open Sans" w:cs="Open Sans"/>
          <w:b/>
          <w:bCs/>
        </w:rPr>
        <w:t>Sporządzenie wykazu odpadów</w:t>
      </w:r>
      <w:r w:rsidRPr="008A1486">
        <w:rPr>
          <w:rFonts w:ascii="Open Sans" w:hAnsi="Open Sans" w:cs="Open Sans"/>
        </w:rPr>
        <w:t>, które mogą powstać w związku z realizacją termomodernizacji budynku;</w:t>
      </w:r>
    </w:p>
    <w:p w14:paraId="1ADEF4F7" w14:textId="3CFFDA19" w:rsidR="00510D38" w:rsidRPr="008A1486" w:rsidRDefault="00510D38" w:rsidP="006230D1">
      <w:pPr>
        <w:pStyle w:val="Akapitzlist"/>
        <w:numPr>
          <w:ilvl w:val="2"/>
          <w:numId w:val="5"/>
        </w:numPr>
        <w:spacing w:line="288" w:lineRule="auto"/>
        <w:ind w:left="142"/>
        <w:rPr>
          <w:rFonts w:ascii="Open Sans" w:hAnsi="Open Sans" w:cs="Open Sans"/>
        </w:rPr>
      </w:pPr>
      <w:r w:rsidRPr="008A1486">
        <w:rPr>
          <w:rFonts w:ascii="Open Sans" w:hAnsi="Open Sans" w:cs="Open Sans"/>
          <w:b/>
          <w:bCs/>
        </w:rPr>
        <w:t xml:space="preserve">Przygotowanie audytu </w:t>
      </w:r>
      <w:proofErr w:type="spellStart"/>
      <w:r w:rsidRPr="008A1486">
        <w:rPr>
          <w:rFonts w:ascii="Open Sans" w:hAnsi="Open Sans" w:cs="Open Sans"/>
          <w:b/>
          <w:bCs/>
        </w:rPr>
        <w:t>przedrozbiórkowego</w:t>
      </w:r>
      <w:proofErr w:type="spellEnd"/>
      <w:r w:rsidRPr="008A1486">
        <w:rPr>
          <w:rFonts w:ascii="Open Sans" w:hAnsi="Open Sans" w:cs="Open Sans"/>
        </w:rPr>
        <w:t>, mającego na celu analizę jakościową i ilościową strumieni odpadów oraz określenie możliwości ich zagospodarowania zgodnie z hierarchią postępowania z odpadami i Protokołem UE, dotyczącym gospodarowania odpadami z budowy i rozbiórki;</w:t>
      </w:r>
    </w:p>
    <w:p w14:paraId="76685835" w14:textId="21CF6555" w:rsidR="00510D38" w:rsidRPr="008A1486" w:rsidRDefault="00510D38" w:rsidP="006230D1">
      <w:pPr>
        <w:pStyle w:val="Akapitzlist"/>
        <w:numPr>
          <w:ilvl w:val="2"/>
          <w:numId w:val="5"/>
        </w:numPr>
        <w:spacing w:line="288" w:lineRule="auto"/>
        <w:ind w:left="142"/>
        <w:rPr>
          <w:rFonts w:ascii="Open Sans" w:hAnsi="Open Sans" w:cs="Open Sans"/>
        </w:rPr>
      </w:pPr>
      <w:r w:rsidRPr="008A1486">
        <w:rPr>
          <w:rFonts w:ascii="Open Sans" w:hAnsi="Open Sans" w:cs="Open Sans"/>
          <w:b/>
          <w:bCs/>
        </w:rPr>
        <w:lastRenderedPageBreak/>
        <w:t>Wszelkie działania mające na celu ograniczanie emisji hałasu, pyłu i innych substancji</w:t>
      </w:r>
      <w:r w:rsidRPr="008A1486">
        <w:rPr>
          <w:rFonts w:ascii="Open Sans" w:hAnsi="Open Sans" w:cs="Open Sans"/>
        </w:rPr>
        <w:t xml:space="preserve"> w trakcie robót budowlanych;</w:t>
      </w:r>
    </w:p>
    <w:p w14:paraId="5240A344" w14:textId="08F8CB20" w:rsidR="00510D38" w:rsidRPr="008A1486" w:rsidRDefault="00510D38" w:rsidP="006230D1">
      <w:pPr>
        <w:pStyle w:val="Akapitzlist"/>
        <w:numPr>
          <w:ilvl w:val="2"/>
          <w:numId w:val="5"/>
        </w:numPr>
        <w:spacing w:line="288" w:lineRule="auto"/>
        <w:ind w:left="142"/>
        <w:rPr>
          <w:rFonts w:ascii="Open Sans" w:hAnsi="Open Sans" w:cs="Open Sans"/>
        </w:rPr>
      </w:pPr>
      <w:r w:rsidRPr="008A1486">
        <w:rPr>
          <w:rFonts w:ascii="Open Sans" w:hAnsi="Open Sans" w:cs="Open Sans"/>
          <w:b/>
          <w:bCs/>
        </w:rPr>
        <w:t>Stosowanie środków służących gospodarowaniu odpadów</w:t>
      </w:r>
      <w:r w:rsidRPr="008A1486">
        <w:rPr>
          <w:rFonts w:ascii="Open Sans" w:hAnsi="Open Sans" w:cs="Open Sans"/>
        </w:rPr>
        <w:t>, zgodnie z hierarchią postępowania z odpadami w celu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w:t>
      </w:r>
    </w:p>
    <w:p w14:paraId="0E7E67CC" w14:textId="1AED5671" w:rsidR="007B04A8" w:rsidRPr="008A1486" w:rsidRDefault="00400546" w:rsidP="006230D1">
      <w:pPr>
        <w:pStyle w:val="Akapitzlist"/>
        <w:numPr>
          <w:ilvl w:val="2"/>
          <w:numId w:val="5"/>
        </w:numPr>
        <w:spacing w:line="288" w:lineRule="auto"/>
        <w:ind w:left="142"/>
        <w:rPr>
          <w:rFonts w:ascii="Open Sans" w:hAnsi="Open Sans" w:cs="Open Sans"/>
          <w:b/>
          <w:bCs/>
        </w:rPr>
      </w:pPr>
      <w:r w:rsidRPr="008A1486">
        <w:rPr>
          <w:rFonts w:ascii="Open Sans" w:hAnsi="Open Sans" w:cs="Open Sans"/>
          <w:b/>
          <w:bCs/>
        </w:rPr>
        <w:t>W</w:t>
      </w:r>
      <w:r w:rsidR="00510D38" w:rsidRPr="008A1486">
        <w:rPr>
          <w:rFonts w:ascii="Open Sans" w:hAnsi="Open Sans" w:cs="Open Sans"/>
          <w:b/>
          <w:bCs/>
        </w:rPr>
        <w:t>szelkie inne działania</w:t>
      </w:r>
      <w:r w:rsidR="00510D38" w:rsidRPr="008A1486">
        <w:rPr>
          <w:rFonts w:ascii="Open Sans" w:hAnsi="Open Sans" w:cs="Open Sans"/>
        </w:rPr>
        <w:t xml:space="preserve"> mające na celu realizację projektu zgodnie z zasadą DNSH</w:t>
      </w:r>
      <w:r w:rsidRPr="008A1486">
        <w:rPr>
          <w:rFonts w:ascii="Open Sans" w:hAnsi="Open Sans" w:cs="Open Sans"/>
        </w:rPr>
        <w:t>, które wynikają z zakresu rzeczowego realizacji przedsięwzięcia i sytuacji zastanej oraz przepisów polskiego prawa w tym zakresie</w:t>
      </w:r>
      <w:r w:rsidR="00510D38" w:rsidRPr="008A1486">
        <w:rPr>
          <w:rFonts w:ascii="Open Sans" w:hAnsi="Open Sans" w:cs="Open Sans"/>
          <w:b/>
          <w:bCs/>
        </w:rPr>
        <w:t>.</w:t>
      </w:r>
    </w:p>
    <w:p w14:paraId="19ECBCDA" w14:textId="5822031C" w:rsidR="00134033" w:rsidRPr="00851B65" w:rsidRDefault="00134033" w:rsidP="00DC06B4">
      <w:pPr>
        <w:spacing w:after="600" w:line="288" w:lineRule="auto"/>
        <w:rPr>
          <w:rFonts w:ascii="Open Sans" w:hAnsi="Open Sans" w:cs="Open Sans"/>
          <w:b/>
          <w:bCs/>
        </w:rPr>
      </w:pPr>
      <w:r w:rsidRPr="00851B65">
        <w:rPr>
          <w:rFonts w:ascii="Open Sans" w:hAnsi="Open Sans" w:cs="Open Sans"/>
          <w:b/>
          <w:bCs/>
        </w:rPr>
        <w:t>Koszty związane z realizacją projektu zgodnie z zasadą DNSH zalicza się do kosztów kwalifikowanych.</w:t>
      </w:r>
    </w:p>
    <w:p w14:paraId="260A4C82" w14:textId="7A0B1C68" w:rsidR="000E302C" w:rsidRPr="00851B65" w:rsidRDefault="00400546" w:rsidP="00ED74F7">
      <w:pPr>
        <w:spacing w:line="288" w:lineRule="auto"/>
        <w:rPr>
          <w:rFonts w:ascii="Open Sans" w:hAnsi="Open Sans" w:cs="Open Sans"/>
          <w:i/>
          <w:iCs/>
        </w:rPr>
      </w:pPr>
      <w:r w:rsidRPr="00851B65">
        <w:rPr>
          <w:rFonts w:ascii="Open Sans" w:hAnsi="Open Sans" w:cs="Open Sans"/>
          <w:i/>
          <w:iCs/>
        </w:rPr>
        <w:t>Zwracamy uwagę</w:t>
      </w:r>
      <w:r w:rsidR="000E302C" w:rsidRPr="00851B65">
        <w:rPr>
          <w:rFonts w:ascii="Open Sans" w:hAnsi="Open Sans" w:cs="Open Sans"/>
          <w:i/>
          <w:iCs/>
        </w:rPr>
        <w:t>,</w:t>
      </w:r>
      <w:r w:rsidRPr="00851B65">
        <w:rPr>
          <w:rFonts w:ascii="Open Sans" w:hAnsi="Open Sans" w:cs="Open Sans"/>
          <w:i/>
          <w:iCs/>
        </w:rPr>
        <w:t xml:space="preserve"> że na etapie realizacji projektu, od przygotowania inwestycji, aż po jej rozliczenie, zasady wdrażania zasad DNSH, będą monitorowane i weryfikowane</w:t>
      </w:r>
      <w:r w:rsidR="000E302C" w:rsidRPr="00851B65">
        <w:rPr>
          <w:rFonts w:ascii="Open Sans" w:hAnsi="Open Sans" w:cs="Open Sans"/>
          <w:i/>
          <w:iCs/>
        </w:rPr>
        <w:t>.</w:t>
      </w:r>
      <w:r w:rsidR="002524B4" w:rsidRPr="00851B65">
        <w:rPr>
          <w:rFonts w:ascii="Open Sans" w:hAnsi="Open Sans" w:cs="Open Sans"/>
          <w:i/>
          <w:iCs/>
        </w:rPr>
        <w:t xml:space="preserve"> </w:t>
      </w:r>
      <w:r w:rsidR="00BC04E1" w:rsidRPr="00851B65">
        <w:rPr>
          <w:rFonts w:ascii="Open Sans" w:hAnsi="Open Sans" w:cs="Open Sans"/>
          <w:i/>
          <w:iCs/>
        </w:rPr>
        <w:t>Na</w:t>
      </w:r>
      <w:r w:rsidR="000E302C" w:rsidRPr="00851B65">
        <w:rPr>
          <w:rFonts w:ascii="Open Sans" w:hAnsi="Open Sans" w:cs="Open Sans"/>
          <w:i/>
          <w:iCs/>
        </w:rPr>
        <w:t xml:space="preserve"> etapie przygotowania przedsięwzięcia,</w:t>
      </w:r>
      <w:r w:rsidR="00BC04E1" w:rsidRPr="00851B65">
        <w:rPr>
          <w:rFonts w:ascii="Open Sans" w:hAnsi="Open Sans" w:cs="Open Sans"/>
          <w:i/>
          <w:iCs/>
        </w:rPr>
        <w:t xml:space="preserve"> realizacji</w:t>
      </w:r>
      <w:r w:rsidR="000E302C" w:rsidRPr="00851B65">
        <w:rPr>
          <w:rFonts w:ascii="Open Sans" w:hAnsi="Open Sans" w:cs="Open Sans"/>
          <w:i/>
          <w:iCs/>
        </w:rPr>
        <w:t xml:space="preserve"> oraz na etapie rozliczenia przedsięwzięcia, niezbędne będzie wykonanie „Raportu</w:t>
      </w:r>
      <w:r w:rsidR="002524B4" w:rsidRPr="00851B65">
        <w:rPr>
          <w:rFonts w:ascii="Open Sans" w:hAnsi="Open Sans" w:cs="Open Sans"/>
          <w:i/>
          <w:iCs/>
        </w:rPr>
        <w:t xml:space="preserve"> Otwarcia/</w:t>
      </w:r>
      <w:r w:rsidR="00BC04E1" w:rsidRPr="00851B65">
        <w:rPr>
          <w:rFonts w:ascii="Open Sans" w:hAnsi="Open Sans" w:cs="Open Sans"/>
          <w:i/>
          <w:iCs/>
        </w:rPr>
        <w:t>Raportów Okresowych (min</w:t>
      </w:r>
      <w:r w:rsidR="00AD4709" w:rsidRPr="00851B65">
        <w:rPr>
          <w:rFonts w:ascii="Open Sans" w:hAnsi="Open Sans" w:cs="Open Sans"/>
          <w:i/>
          <w:iCs/>
        </w:rPr>
        <w:t>imum</w:t>
      </w:r>
      <w:r w:rsidR="00BC04E1" w:rsidRPr="00851B65">
        <w:rPr>
          <w:rFonts w:ascii="Open Sans" w:hAnsi="Open Sans" w:cs="Open Sans"/>
          <w:i/>
          <w:iCs/>
        </w:rPr>
        <w:t xml:space="preserve"> raz na rok)/</w:t>
      </w:r>
      <w:r w:rsidR="002524B4" w:rsidRPr="00851B65">
        <w:rPr>
          <w:rFonts w:ascii="Open Sans" w:hAnsi="Open Sans" w:cs="Open Sans"/>
          <w:i/>
          <w:iCs/>
        </w:rPr>
        <w:t>Raportu Końcowego</w:t>
      </w:r>
      <w:r w:rsidR="000E302C" w:rsidRPr="00851B65">
        <w:rPr>
          <w:rFonts w:ascii="Open Sans" w:hAnsi="Open Sans" w:cs="Open Sans"/>
          <w:i/>
          <w:iCs/>
        </w:rPr>
        <w:t>”</w:t>
      </w:r>
      <w:r w:rsidR="002524B4" w:rsidRPr="00851B65">
        <w:rPr>
          <w:rFonts w:ascii="Open Sans" w:hAnsi="Open Sans" w:cs="Open Sans"/>
          <w:i/>
          <w:iCs/>
        </w:rPr>
        <w:t xml:space="preserve"> opisującego</w:t>
      </w:r>
      <w:r w:rsidR="00BC04E1" w:rsidRPr="00851B65">
        <w:rPr>
          <w:rFonts w:ascii="Open Sans" w:hAnsi="Open Sans" w:cs="Open Sans"/>
          <w:i/>
          <w:iCs/>
        </w:rPr>
        <w:t xml:space="preserve"> </w:t>
      </w:r>
      <w:r w:rsidR="002524B4" w:rsidRPr="00851B65">
        <w:rPr>
          <w:rFonts w:ascii="Open Sans" w:hAnsi="Open Sans" w:cs="Open Sans"/>
          <w:i/>
          <w:iCs/>
        </w:rPr>
        <w:t>sposób planowania, wdrażania, realizacji, monitorowania i rozliczania inwestycji zgodnie z duchem zasad DNSH</w:t>
      </w:r>
      <w:r w:rsidR="00BC04E1" w:rsidRPr="00851B65">
        <w:rPr>
          <w:rFonts w:ascii="Open Sans" w:hAnsi="Open Sans" w:cs="Open Sans"/>
          <w:i/>
          <w:iCs/>
        </w:rPr>
        <w:t xml:space="preserve"> wraz z wykazem dokumentów to potwierdzających</w:t>
      </w:r>
      <w:r w:rsidR="002524B4" w:rsidRPr="00851B65">
        <w:rPr>
          <w:rFonts w:ascii="Open Sans" w:hAnsi="Open Sans" w:cs="Open Sans"/>
          <w:i/>
          <w:iCs/>
        </w:rPr>
        <w:t>.</w:t>
      </w:r>
    </w:p>
    <w:p w14:paraId="549145DA" w14:textId="7249070B" w:rsidR="00400546" w:rsidRPr="00851B65" w:rsidRDefault="00400546" w:rsidP="00ED74F7">
      <w:pPr>
        <w:spacing w:line="288" w:lineRule="auto"/>
        <w:rPr>
          <w:rFonts w:ascii="Open Sans" w:hAnsi="Open Sans" w:cs="Open Sans"/>
        </w:rPr>
      </w:pPr>
      <w:r w:rsidRPr="00851B65">
        <w:rPr>
          <w:rFonts w:ascii="Open Sans" w:hAnsi="Open Sans" w:cs="Open Sans"/>
        </w:rPr>
        <w:br w:type="page"/>
      </w:r>
    </w:p>
    <w:p w14:paraId="451175EE" w14:textId="0BD7DDB3" w:rsidR="007B04A8" w:rsidRPr="008A1486" w:rsidRDefault="007B04A8" w:rsidP="008A1486">
      <w:pPr>
        <w:pStyle w:val="Akapitzlist"/>
        <w:numPr>
          <w:ilvl w:val="0"/>
          <w:numId w:val="7"/>
        </w:numPr>
        <w:pBdr>
          <w:top w:val="single" w:sz="4" w:space="1" w:color="auto"/>
          <w:left w:val="single" w:sz="4" w:space="4" w:color="auto"/>
          <w:bottom w:val="single" w:sz="4" w:space="1" w:color="auto"/>
          <w:right w:val="single" w:sz="4" w:space="4" w:color="auto"/>
        </w:pBdr>
        <w:spacing w:line="288" w:lineRule="auto"/>
        <w:ind w:left="142" w:firstLine="283"/>
        <w:rPr>
          <w:rFonts w:ascii="Open Sans" w:hAnsi="Open Sans" w:cs="Open Sans"/>
          <w:b/>
          <w:bCs/>
        </w:rPr>
      </w:pPr>
      <w:r w:rsidRPr="008A1486">
        <w:rPr>
          <w:rFonts w:ascii="Open Sans" w:hAnsi="Open Sans" w:cs="Open Sans"/>
          <w:b/>
          <w:bCs/>
        </w:rPr>
        <w:lastRenderedPageBreak/>
        <w:t xml:space="preserve">Realizowany zakres rzeczowy nie wynikający z audytu energetycznego (nie więcej niż </w:t>
      </w:r>
      <w:r w:rsidR="00570FA5" w:rsidRPr="008A1486">
        <w:rPr>
          <w:rFonts w:ascii="Open Sans" w:hAnsi="Open Sans" w:cs="Open Sans"/>
          <w:b/>
          <w:bCs/>
        </w:rPr>
        <w:t>20</w:t>
      </w:r>
      <w:r w:rsidRPr="008A1486">
        <w:rPr>
          <w:rFonts w:ascii="Open Sans" w:hAnsi="Open Sans" w:cs="Open Sans"/>
          <w:b/>
          <w:bCs/>
        </w:rPr>
        <w:t>% kosztów kwalifikowanych projektu).</w:t>
      </w:r>
    </w:p>
    <w:p w14:paraId="49E61256" w14:textId="3A6519E5" w:rsidR="007B04A8" w:rsidRPr="00851B65" w:rsidRDefault="007B04A8" w:rsidP="00ED74F7">
      <w:pPr>
        <w:spacing w:line="288" w:lineRule="auto"/>
        <w:rPr>
          <w:rFonts w:ascii="Open Sans" w:hAnsi="Open Sans" w:cs="Open Sans"/>
        </w:rPr>
      </w:pPr>
      <w:r w:rsidRPr="00851B65">
        <w:rPr>
          <w:rFonts w:ascii="Open Sans" w:hAnsi="Open Sans" w:cs="Open Sans"/>
        </w:rPr>
        <w:t xml:space="preserve">Wsparcie elementów wykraczających poza audyt energetyczny (do wysokości </w:t>
      </w:r>
      <w:r w:rsidR="001838F9" w:rsidRPr="00851B65">
        <w:rPr>
          <w:rFonts w:ascii="Open Sans" w:hAnsi="Open Sans" w:cs="Open Sans"/>
        </w:rPr>
        <w:t>20</w:t>
      </w:r>
      <w:r w:rsidRPr="00851B65">
        <w:rPr>
          <w:rFonts w:ascii="Open Sans" w:hAnsi="Open Sans" w:cs="Open Sans"/>
        </w:rPr>
        <w:t>% kosztów kwalifikowalnych projektu).</w:t>
      </w:r>
      <w:r w:rsidR="00C251E7" w:rsidRPr="00851B65">
        <w:rPr>
          <w:rFonts w:ascii="Open Sans" w:hAnsi="Open Sans" w:cs="Open Sans"/>
        </w:rPr>
        <w:t xml:space="preserve"> </w:t>
      </w:r>
      <w:r w:rsidRPr="00851B65">
        <w:rPr>
          <w:rFonts w:ascii="Open Sans" w:hAnsi="Open Sans" w:cs="Open Sans"/>
        </w:rPr>
        <w:t>Wspierane mogą być uzasadnione elementy niewynikające z audytów energetycznych, tak</w:t>
      </w:r>
      <w:r w:rsidR="001838F9" w:rsidRPr="00851B65">
        <w:rPr>
          <w:rFonts w:ascii="Open Sans" w:hAnsi="Open Sans" w:cs="Open Sans"/>
        </w:rPr>
        <w:t>ie</w:t>
      </w:r>
      <w:r w:rsidRPr="00851B65">
        <w:rPr>
          <w:rFonts w:ascii="Open Sans" w:hAnsi="Open Sans" w:cs="Open Sans"/>
        </w:rPr>
        <w:t xml:space="preserve"> jak:</w:t>
      </w:r>
    </w:p>
    <w:p w14:paraId="0216DECA" w14:textId="71FE0374" w:rsidR="00570FA5" w:rsidRPr="006230D1" w:rsidRDefault="00570FA5" w:rsidP="006230D1">
      <w:pPr>
        <w:pStyle w:val="Akapitzlist"/>
        <w:numPr>
          <w:ilvl w:val="1"/>
          <w:numId w:val="38"/>
        </w:numPr>
        <w:spacing w:line="288" w:lineRule="auto"/>
        <w:ind w:left="426"/>
        <w:rPr>
          <w:rFonts w:ascii="Open Sans" w:hAnsi="Open Sans" w:cs="Open Sans"/>
          <w:b/>
          <w:bCs/>
        </w:rPr>
      </w:pPr>
      <w:r w:rsidRPr="006230D1">
        <w:rPr>
          <w:rFonts w:ascii="Open Sans" w:hAnsi="Open Sans" w:cs="Open Sans"/>
          <w:b/>
          <w:bCs/>
        </w:rPr>
        <w:t>Rozwiązania związane z usuwaniem skutków powodzi.</w:t>
      </w:r>
    </w:p>
    <w:p w14:paraId="593AFA87" w14:textId="6A1DD990" w:rsidR="00570FA5" w:rsidRPr="008A1486" w:rsidRDefault="00570FA5" w:rsidP="006230D1">
      <w:pPr>
        <w:pStyle w:val="Akapitzlist"/>
        <w:numPr>
          <w:ilvl w:val="1"/>
          <w:numId w:val="38"/>
        </w:numPr>
        <w:spacing w:line="288" w:lineRule="auto"/>
        <w:ind w:left="426"/>
        <w:rPr>
          <w:rFonts w:ascii="Open Sans" w:hAnsi="Open Sans" w:cs="Open Sans"/>
          <w:b/>
          <w:bCs/>
        </w:rPr>
      </w:pPr>
      <w:r w:rsidRPr="006230D1">
        <w:rPr>
          <w:rFonts w:ascii="Open Sans" w:hAnsi="Open Sans" w:cs="Open Sans"/>
          <w:b/>
          <w:bCs/>
        </w:rPr>
        <w:t>Rozwiązania proekologicznie,</w:t>
      </w:r>
      <w:r w:rsidR="001838F9" w:rsidRPr="006230D1">
        <w:rPr>
          <w:b/>
          <w:bCs/>
        </w:rPr>
        <w:t xml:space="preserve"> </w:t>
      </w:r>
      <w:r w:rsidR="001838F9" w:rsidRPr="006230D1">
        <w:rPr>
          <w:rFonts w:ascii="Open Sans" w:hAnsi="Open Sans" w:cs="Open Sans"/>
          <w:b/>
          <w:bCs/>
        </w:rPr>
        <w:t xml:space="preserve">realizujące szersze cele Europejskiego Zielonego Ładu, w tym strategii na rzecz Fali renowacji </w:t>
      </w:r>
      <w:r w:rsidRPr="006230D1">
        <w:rPr>
          <w:rFonts w:ascii="Open Sans" w:hAnsi="Open Sans" w:cs="Open Sans"/>
          <w:b/>
          <w:bCs/>
        </w:rPr>
        <w:t xml:space="preserve"> np.:</w:t>
      </w:r>
    </w:p>
    <w:p w14:paraId="5FF1B8FB" w14:textId="63B0F4C0" w:rsidR="00570FA5" w:rsidRPr="00851B65" w:rsidRDefault="00570FA5" w:rsidP="006230D1">
      <w:pPr>
        <w:pStyle w:val="Akapitzlist"/>
        <w:numPr>
          <w:ilvl w:val="2"/>
          <w:numId w:val="39"/>
        </w:numPr>
        <w:spacing w:line="288" w:lineRule="auto"/>
        <w:ind w:left="567"/>
        <w:rPr>
          <w:rFonts w:ascii="Open Sans" w:hAnsi="Open Sans" w:cs="Open Sans"/>
        </w:rPr>
      </w:pPr>
      <w:r w:rsidRPr="00851B65">
        <w:rPr>
          <w:rFonts w:ascii="Open Sans" w:hAnsi="Open Sans" w:cs="Open Sans"/>
          <w:b/>
          <w:bCs/>
        </w:rPr>
        <w:t>rozwiązania przyczyniające się do zwiększenia powierzchni zielonych,</w:t>
      </w:r>
      <w:r w:rsidRPr="00851B65">
        <w:rPr>
          <w:rFonts w:ascii="Open Sans" w:hAnsi="Open Sans" w:cs="Open Sans"/>
        </w:rPr>
        <w:t xml:space="preserve"> </w:t>
      </w:r>
      <w:r w:rsidRPr="00851B65">
        <w:rPr>
          <w:rFonts w:ascii="Open Sans" w:hAnsi="Open Sans" w:cs="Open Sans"/>
        </w:rPr>
        <w:br/>
        <w:t xml:space="preserve">(np.: zielone dachy, ściany, </w:t>
      </w:r>
      <w:proofErr w:type="spellStart"/>
      <w:r w:rsidRPr="00851B65">
        <w:rPr>
          <w:rFonts w:ascii="Open Sans" w:hAnsi="Open Sans" w:cs="Open Sans"/>
        </w:rPr>
        <w:t>debetonizacja</w:t>
      </w:r>
      <w:proofErr w:type="spellEnd"/>
      <w:r w:rsidRPr="00851B65">
        <w:rPr>
          <w:rFonts w:ascii="Open Sans" w:hAnsi="Open Sans" w:cs="Open Sans"/>
        </w:rPr>
        <w:t xml:space="preserve"> terenu wokół budynku);</w:t>
      </w:r>
    </w:p>
    <w:p w14:paraId="16A7884F" w14:textId="35243206" w:rsidR="007B04A8" w:rsidRPr="00851B65" w:rsidRDefault="00570FA5" w:rsidP="006230D1">
      <w:pPr>
        <w:pStyle w:val="Akapitzlist"/>
        <w:numPr>
          <w:ilvl w:val="2"/>
          <w:numId w:val="39"/>
        </w:numPr>
        <w:spacing w:line="288" w:lineRule="auto"/>
        <w:ind w:left="567"/>
        <w:rPr>
          <w:rFonts w:ascii="Open Sans" w:hAnsi="Open Sans" w:cs="Open Sans"/>
        </w:rPr>
      </w:pPr>
      <w:r w:rsidRPr="00851B65">
        <w:rPr>
          <w:rFonts w:ascii="Open Sans" w:hAnsi="Open Sans" w:cs="Open Sans"/>
          <w:b/>
          <w:bCs/>
        </w:rPr>
        <w:t>r</w:t>
      </w:r>
      <w:r w:rsidR="007B04A8" w:rsidRPr="00851B65">
        <w:rPr>
          <w:rFonts w:ascii="Open Sans" w:hAnsi="Open Sans" w:cs="Open Sans"/>
          <w:b/>
          <w:bCs/>
        </w:rPr>
        <w:t>ozwój elektromobilności</w:t>
      </w:r>
      <w:r w:rsidR="007B04A8" w:rsidRPr="00851B65">
        <w:rPr>
          <w:rFonts w:ascii="Open Sans" w:hAnsi="Open Sans" w:cs="Open Sans"/>
        </w:rPr>
        <w:t xml:space="preserve">, np.: punkty ładowania, dostosowanie wewnętrznych </w:t>
      </w:r>
      <w:r w:rsidR="00C251E7" w:rsidRPr="00851B65">
        <w:rPr>
          <w:rFonts w:ascii="Open Sans" w:hAnsi="Open Sans" w:cs="Open Sans"/>
        </w:rPr>
        <w:br/>
      </w:r>
      <w:r w:rsidR="007B04A8" w:rsidRPr="00851B65">
        <w:rPr>
          <w:rFonts w:ascii="Open Sans" w:hAnsi="Open Sans" w:cs="Open Sans"/>
        </w:rPr>
        <w:t>i zewnętrznych stanowisk postojowych w celu zapewnienia mocy przyłączeniowej pozwalającej wyposażyć te stanowiska w punkty ładowania o mocy nie mniejszej niż 3,7 kW itp.</w:t>
      </w:r>
      <w:r w:rsidR="00353CE4" w:rsidRPr="00851B65">
        <w:rPr>
          <w:rFonts w:ascii="Open Sans" w:hAnsi="Open Sans" w:cs="Open Sans"/>
        </w:rPr>
        <w:t>;</w:t>
      </w:r>
    </w:p>
    <w:p w14:paraId="0AB2FFC5" w14:textId="174DCA87" w:rsidR="007B04A8" w:rsidRPr="00851B65" w:rsidRDefault="00570FA5" w:rsidP="006230D1">
      <w:pPr>
        <w:pStyle w:val="Akapitzlist"/>
        <w:numPr>
          <w:ilvl w:val="2"/>
          <w:numId w:val="39"/>
        </w:numPr>
        <w:spacing w:line="288" w:lineRule="auto"/>
        <w:ind w:left="567"/>
        <w:rPr>
          <w:rFonts w:ascii="Open Sans" w:hAnsi="Open Sans" w:cs="Open Sans"/>
        </w:rPr>
      </w:pPr>
      <w:r w:rsidRPr="00851B65">
        <w:rPr>
          <w:rFonts w:ascii="Open Sans" w:hAnsi="Open Sans" w:cs="Open Sans"/>
          <w:b/>
          <w:bCs/>
        </w:rPr>
        <w:t>r</w:t>
      </w:r>
      <w:r w:rsidR="007B04A8" w:rsidRPr="00851B65">
        <w:rPr>
          <w:rFonts w:ascii="Open Sans" w:hAnsi="Open Sans" w:cs="Open Sans"/>
          <w:b/>
          <w:bCs/>
        </w:rPr>
        <w:t>ozwiązania na rzecz gospodarki o obiegu zamkniętym</w:t>
      </w:r>
      <w:r w:rsidR="007B04A8" w:rsidRPr="00851B65">
        <w:rPr>
          <w:rFonts w:ascii="Open Sans" w:hAnsi="Open Sans" w:cs="Open Sans"/>
        </w:rPr>
        <w:t>, np.: rozwiązania mające na celu minimalizowanie wytwarzania odpadów, zapobieganie ich powstawaniu oraz ponowne ich użycie, rozwiązania mające na celu wykorzystanie potencjału wody deszczowej itp.</w:t>
      </w:r>
    </w:p>
    <w:p w14:paraId="100AE304" w14:textId="5D7CD6E5" w:rsidR="007B04A8" w:rsidRPr="00851B65" w:rsidRDefault="00570FA5" w:rsidP="006230D1">
      <w:pPr>
        <w:pStyle w:val="Akapitzlist"/>
        <w:numPr>
          <w:ilvl w:val="2"/>
          <w:numId w:val="39"/>
        </w:numPr>
        <w:spacing w:line="288" w:lineRule="auto"/>
        <w:ind w:left="567"/>
        <w:rPr>
          <w:rFonts w:ascii="Open Sans" w:hAnsi="Open Sans" w:cs="Open Sans"/>
        </w:rPr>
      </w:pPr>
      <w:r w:rsidRPr="00851B65">
        <w:rPr>
          <w:rFonts w:ascii="Open Sans" w:hAnsi="Open Sans" w:cs="Open Sans"/>
          <w:b/>
          <w:bCs/>
        </w:rPr>
        <w:t>m</w:t>
      </w:r>
      <w:r w:rsidR="007B04A8" w:rsidRPr="00851B65">
        <w:rPr>
          <w:rFonts w:ascii="Open Sans" w:hAnsi="Open Sans" w:cs="Open Sans"/>
          <w:b/>
          <w:bCs/>
        </w:rPr>
        <w:t>ontaż urządzeń do magazynowania energii</w:t>
      </w:r>
      <w:r w:rsidR="00353CE4" w:rsidRPr="00851B65">
        <w:rPr>
          <w:rFonts w:ascii="Open Sans" w:hAnsi="Open Sans" w:cs="Open Sans"/>
        </w:rPr>
        <w:t>;</w:t>
      </w:r>
    </w:p>
    <w:p w14:paraId="0CB3B7A5" w14:textId="38803377" w:rsidR="007B04A8" w:rsidRPr="00851B65" w:rsidRDefault="00570FA5" w:rsidP="006230D1">
      <w:pPr>
        <w:pStyle w:val="Akapitzlist"/>
        <w:numPr>
          <w:ilvl w:val="2"/>
          <w:numId w:val="39"/>
        </w:numPr>
        <w:spacing w:line="288" w:lineRule="auto"/>
        <w:ind w:left="567"/>
        <w:rPr>
          <w:rFonts w:ascii="Open Sans" w:hAnsi="Open Sans" w:cs="Open Sans"/>
        </w:rPr>
      </w:pPr>
      <w:r w:rsidRPr="00851B65">
        <w:rPr>
          <w:rFonts w:ascii="Open Sans" w:hAnsi="Open Sans" w:cs="Open Sans"/>
          <w:b/>
          <w:bCs/>
        </w:rPr>
        <w:t>m</w:t>
      </w:r>
      <w:r w:rsidR="007B04A8" w:rsidRPr="00851B65">
        <w:rPr>
          <w:rFonts w:ascii="Open Sans" w:hAnsi="Open Sans" w:cs="Open Sans"/>
          <w:b/>
          <w:bCs/>
        </w:rPr>
        <w:t>ontaż urządzeń służących cyfryzacji budynku,</w:t>
      </w:r>
      <w:r w:rsidR="007B04A8" w:rsidRPr="00851B65">
        <w:rPr>
          <w:rFonts w:ascii="Open Sans" w:hAnsi="Open Sans" w:cs="Open Sans"/>
        </w:rPr>
        <w:t xml:space="preserve"> </w:t>
      </w:r>
      <w:r w:rsidR="00D21279" w:rsidRPr="00851B65">
        <w:rPr>
          <w:rFonts w:ascii="Open Sans" w:hAnsi="Open Sans" w:cs="Open Sans"/>
        </w:rPr>
        <w:t>np.: systemy audiowizualne, oświetleniowe, sygnalizacji pożaru, sygnalizacji włamania i napadu, kontroli dostępu, telewizji dozorowej, nagłaśniania ewakuacyjnego, sterowania i kontroli instalacji klimatyzacji, wentylacji i ogrzewania, teleinformatyczne, zasilania głównego i awaryjnego;</w:t>
      </w:r>
    </w:p>
    <w:p w14:paraId="06C0EE4F" w14:textId="1263F449" w:rsidR="00570FA5" w:rsidRPr="008A1486" w:rsidRDefault="00570FA5" w:rsidP="006230D1">
      <w:pPr>
        <w:pStyle w:val="Akapitzlist"/>
        <w:numPr>
          <w:ilvl w:val="1"/>
          <w:numId w:val="40"/>
        </w:numPr>
        <w:spacing w:line="288" w:lineRule="auto"/>
        <w:ind w:left="567" w:hanging="425"/>
        <w:rPr>
          <w:rFonts w:ascii="Open Sans" w:hAnsi="Open Sans" w:cs="Open Sans"/>
        </w:rPr>
      </w:pPr>
      <w:r w:rsidRPr="008A1486">
        <w:rPr>
          <w:rFonts w:ascii="Open Sans" w:hAnsi="Open Sans" w:cs="Open Sans"/>
          <w:b/>
          <w:bCs/>
        </w:rPr>
        <w:t>Elementy związane z dostępnością infrastruktury</w:t>
      </w:r>
      <w:r w:rsidRPr="008A1486">
        <w:rPr>
          <w:rFonts w:ascii="Open Sans" w:hAnsi="Open Sans" w:cs="Open Sans"/>
        </w:rPr>
        <w:t>. np.: prace związane z zapewnieniem osobom niepełnosprawnym dostępu do budynku (wykonanie pochylni, podjazdu lub zainstalowanie urządzeń technicznych zapewniających osobom niepełnosprawnym dostęp do budynku i na kondygnacje z pomieszczeniami użytkowymi, w tym montaż nowych wind energooszczędnych itp.). Inwestycje w budynkach użyteczności publicznej mogą uwzględniać działania dostosowawcze w zakresie przygotowania infrastruktury obiektu pod kątem odporności na zagrożenie użycia broni kinetycznej, jak i tzw. ABC.</w:t>
      </w:r>
    </w:p>
    <w:p w14:paraId="0F089E00" w14:textId="1E5F638E" w:rsidR="007B04A8" w:rsidRPr="00851B65" w:rsidRDefault="007B04A8" w:rsidP="00ED74F7">
      <w:pPr>
        <w:spacing w:line="288" w:lineRule="auto"/>
        <w:rPr>
          <w:rFonts w:ascii="Open Sans" w:hAnsi="Open Sans" w:cs="Open Sans"/>
          <w:i/>
          <w:iCs/>
        </w:rPr>
      </w:pPr>
      <w:r w:rsidRPr="00851B65">
        <w:rPr>
          <w:rFonts w:ascii="Open Sans" w:hAnsi="Open Sans" w:cs="Open Sans"/>
          <w:i/>
          <w:iCs/>
        </w:rPr>
        <w:t>Ww. pozycje powinny być osobno monitorowane</w:t>
      </w:r>
      <w:r w:rsidR="002524B4" w:rsidRPr="00851B65">
        <w:rPr>
          <w:rFonts w:ascii="Open Sans" w:hAnsi="Open Sans" w:cs="Open Sans"/>
          <w:i/>
          <w:iCs/>
        </w:rPr>
        <w:t xml:space="preserve"> w dokumentach umowy o dofinansowanie,</w:t>
      </w:r>
      <w:r w:rsidRPr="00851B65">
        <w:rPr>
          <w:rFonts w:ascii="Open Sans" w:hAnsi="Open Sans" w:cs="Open Sans"/>
          <w:i/>
          <w:iCs/>
        </w:rPr>
        <w:t xml:space="preserve"> w celu </w:t>
      </w:r>
      <w:r w:rsidR="002524B4" w:rsidRPr="00851B65">
        <w:rPr>
          <w:rFonts w:ascii="Open Sans" w:hAnsi="Open Sans" w:cs="Open Sans"/>
          <w:i/>
          <w:iCs/>
        </w:rPr>
        <w:t xml:space="preserve">uniknięcia zagrożenia przekroczenia </w:t>
      </w:r>
      <w:r w:rsidRPr="00851B65">
        <w:rPr>
          <w:rFonts w:ascii="Open Sans" w:hAnsi="Open Sans" w:cs="Open Sans"/>
          <w:i/>
          <w:iCs/>
        </w:rPr>
        <w:t xml:space="preserve">dopuszczonego limitu, tj. </w:t>
      </w:r>
      <w:r w:rsidR="00570FA5" w:rsidRPr="00851B65">
        <w:rPr>
          <w:rFonts w:ascii="Open Sans" w:hAnsi="Open Sans" w:cs="Open Sans"/>
          <w:i/>
          <w:iCs/>
        </w:rPr>
        <w:t>20</w:t>
      </w:r>
      <w:r w:rsidRPr="00851B65">
        <w:rPr>
          <w:rFonts w:ascii="Open Sans" w:hAnsi="Open Sans" w:cs="Open Sans"/>
          <w:i/>
          <w:iCs/>
        </w:rPr>
        <w:t xml:space="preserve">% kosztów </w:t>
      </w:r>
      <w:r w:rsidRPr="00851B65">
        <w:rPr>
          <w:rFonts w:ascii="Open Sans" w:hAnsi="Open Sans" w:cs="Open Sans"/>
          <w:i/>
          <w:iCs/>
        </w:rPr>
        <w:lastRenderedPageBreak/>
        <w:t>kwalifikowanych projektu na każdym z etapów realizacji przedsięwzięcia</w:t>
      </w:r>
      <w:r w:rsidR="00DE3134" w:rsidRPr="00851B65">
        <w:rPr>
          <w:rFonts w:ascii="Open Sans" w:hAnsi="Open Sans" w:cs="Open Sans"/>
          <w:i/>
          <w:iCs/>
        </w:rPr>
        <w:t>,</w:t>
      </w:r>
      <w:r w:rsidRPr="00851B65">
        <w:rPr>
          <w:rFonts w:ascii="Open Sans" w:hAnsi="Open Sans" w:cs="Open Sans"/>
          <w:i/>
          <w:iCs/>
        </w:rPr>
        <w:t xml:space="preserve"> </w:t>
      </w:r>
      <w:r w:rsidR="002524B4" w:rsidRPr="00851B65">
        <w:rPr>
          <w:rFonts w:ascii="Open Sans" w:hAnsi="Open Sans" w:cs="Open Sans"/>
          <w:i/>
          <w:iCs/>
        </w:rPr>
        <w:t xml:space="preserve">od przygotowania, </w:t>
      </w:r>
      <w:r w:rsidRPr="00851B65">
        <w:rPr>
          <w:rFonts w:ascii="Open Sans" w:hAnsi="Open Sans" w:cs="Open Sans"/>
          <w:i/>
          <w:iCs/>
        </w:rPr>
        <w:t xml:space="preserve">aż </w:t>
      </w:r>
      <w:r w:rsidR="002524B4" w:rsidRPr="00851B65">
        <w:rPr>
          <w:rFonts w:ascii="Open Sans" w:hAnsi="Open Sans" w:cs="Open Sans"/>
          <w:i/>
          <w:iCs/>
        </w:rPr>
        <w:t>p</w:t>
      </w:r>
      <w:r w:rsidRPr="00851B65">
        <w:rPr>
          <w:rFonts w:ascii="Open Sans" w:hAnsi="Open Sans" w:cs="Open Sans"/>
          <w:i/>
          <w:iCs/>
        </w:rPr>
        <w:t>o jego rozliczeni</w:t>
      </w:r>
      <w:r w:rsidR="002524B4" w:rsidRPr="00851B65">
        <w:rPr>
          <w:rFonts w:ascii="Open Sans" w:hAnsi="Open Sans" w:cs="Open Sans"/>
          <w:i/>
          <w:iCs/>
        </w:rPr>
        <w:t>e</w:t>
      </w:r>
      <w:r w:rsidRPr="00851B65">
        <w:rPr>
          <w:rFonts w:ascii="Open Sans" w:hAnsi="Open Sans" w:cs="Open Sans"/>
          <w:i/>
          <w:iCs/>
        </w:rPr>
        <w:t>.</w:t>
      </w:r>
    </w:p>
    <w:p w14:paraId="7D1620DF" w14:textId="3955A0B8" w:rsidR="007B04A8" w:rsidRPr="00851B65" w:rsidRDefault="00510D38" w:rsidP="00ED74F7">
      <w:pPr>
        <w:spacing w:line="288" w:lineRule="auto"/>
        <w:rPr>
          <w:rFonts w:ascii="Open Sans" w:hAnsi="Open Sans" w:cs="Open Sans"/>
          <w:b/>
          <w:bCs/>
        </w:rPr>
      </w:pPr>
      <w:r w:rsidRPr="00851B65">
        <w:rPr>
          <w:rFonts w:ascii="Open Sans" w:hAnsi="Open Sans" w:cs="Open Sans"/>
          <w:b/>
          <w:bCs/>
        </w:rPr>
        <w:br w:type="page"/>
      </w:r>
    </w:p>
    <w:p w14:paraId="5BEC43AF" w14:textId="733BB9A7" w:rsidR="007B04A8" w:rsidRPr="008C2D05" w:rsidRDefault="007B04A8" w:rsidP="008C2D05">
      <w:pPr>
        <w:pStyle w:val="Akapitzlist"/>
        <w:numPr>
          <w:ilvl w:val="0"/>
          <w:numId w:val="7"/>
        </w:numPr>
        <w:pBdr>
          <w:top w:val="single" w:sz="4" w:space="1" w:color="auto"/>
          <w:left w:val="single" w:sz="4" w:space="4" w:color="auto"/>
          <w:bottom w:val="single" w:sz="4" w:space="1" w:color="auto"/>
          <w:right w:val="single" w:sz="4" w:space="4" w:color="auto"/>
        </w:pBdr>
        <w:spacing w:line="288" w:lineRule="auto"/>
        <w:ind w:left="142" w:firstLine="283"/>
        <w:rPr>
          <w:rFonts w:ascii="Open Sans" w:hAnsi="Open Sans" w:cs="Open Sans"/>
          <w:b/>
          <w:bCs/>
        </w:rPr>
      </w:pPr>
      <w:r w:rsidRPr="008C2D05">
        <w:rPr>
          <w:rFonts w:ascii="Open Sans" w:hAnsi="Open Sans" w:cs="Open Sans"/>
          <w:b/>
          <w:bCs/>
        </w:rPr>
        <w:lastRenderedPageBreak/>
        <w:t>Realizacja termomodernizacji budynku w formule ESCO/EPC.</w:t>
      </w:r>
    </w:p>
    <w:p w14:paraId="11ED7129" w14:textId="4C7AEF24" w:rsidR="007B04A8" w:rsidRPr="00851B65" w:rsidRDefault="007B04A8" w:rsidP="00ED74F7">
      <w:pPr>
        <w:spacing w:line="288" w:lineRule="auto"/>
        <w:rPr>
          <w:rFonts w:ascii="Open Sans" w:hAnsi="Open Sans" w:cs="Open Sans"/>
        </w:rPr>
      </w:pPr>
      <w:r w:rsidRPr="00851B65">
        <w:rPr>
          <w:rFonts w:ascii="Open Sans" w:hAnsi="Open Sans" w:cs="Open Sans"/>
        </w:rPr>
        <w:t>Projekty</w:t>
      </w:r>
      <w:r w:rsidR="00B373D6" w:rsidRPr="00851B65">
        <w:rPr>
          <w:rFonts w:ascii="Open Sans" w:hAnsi="Open Sans" w:cs="Open Sans"/>
        </w:rPr>
        <w:t xml:space="preserve"> termomodernizacyjne</w:t>
      </w:r>
      <w:r w:rsidRPr="00851B65">
        <w:rPr>
          <w:rFonts w:ascii="Open Sans" w:hAnsi="Open Sans" w:cs="Open Sans"/>
        </w:rPr>
        <w:t xml:space="preserve"> realizowane w formule ESCO/EPC</w:t>
      </w:r>
      <w:r w:rsidR="00D21279" w:rsidRPr="00851B65">
        <w:rPr>
          <w:rFonts w:ascii="Open Sans" w:hAnsi="Open Sans" w:cs="Open Sans"/>
        </w:rPr>
        <w:t xml:space="preserve"> </w:t>
      </w:r>
      <w:r w:rsidR="00B373D6" w:rsidRPr="00851B65">
        <w:rPr>
          <w:rFonts w:ascii="Open Sans" w:hAnsi="Open Sans" w:cs="Open Sans"/>
        </w:rPr>
        <w:t>są również planowane do wsparcia w ramach funduszy europejskich</w:t>
      </w:r>
      <w:r w:rsidRPr="00851B65">
        <w:rPr>
          <w:rFonts w:ascii="Open Sans" w:hAnsi="Open Sans" w:cs="Open Sans"/>
        </w:rPr>
        <w:t xml:space="preserve">. </w:t>
      </w:r>
      <w:r w:rsidR="00B373D6" w:rsidRPr="00851B65">
        <w:rPr>
          <w:rFonts w:ascii="Open Sans" w:hAnsi="Open Sans" w:cs="Open Sans"/>
        </w:rPr>
        <w:t xml:space="preserve">Planuje się wsparcie ich wdrożenia, </w:t>
      </w:r>
      <w:r w:rsidRPr="00851B65">
        <w:rPr>
          <w:rFonts w:ascii="Open Sans" w:hAnsi="Open Sans" w:cs="Open Sans"/>
        </w:rPr>
        <w:t>zgodnie z uzgodniony</w:t>
      </w:r>
      <w:r w:rsidR="00DE3134" w:rsidRPr="00851B65">
        <w:rPr>
          <w:rFonts w:ascii="Open Sans" w:hAnsi="Open Sans" w:cs="Open Sans"/>
        </w:rPr>
        <w:t>m</w:t>
      </w:r>
      <w:r w:rsidR="00B373D6" w:rsidRPr="00851B65">
        <w:rPr>
          <w:rFonts w:ascii="Open Sans" w:hAnsi="Open Sans" w:cs="Open Sans"/>
        </w:rPr>
        <w:t xml:space="preserve"> z KE</w:t>
      </w:r>
      <w:r w:rsidR="00DE3134" w:rsidRPr="00851B65">
        <w:rPr>
          <w:rFonts w:ascii="Open Sans" w:hAnsi="Open Sans" w:cs="Open Sans"/>
        </w:rPr>
        <w:t xml:space="preserve"> schematem </w:t>
      </w:r>
      <w:r w:rsidR="00510D38" w:rsidRPr="00851B65">
        <w:rPr>
          <w:rFonts w:ascii="Open Sans" w:hAnsi="Open Sans" w:cs="Open Sans"/>
        </w:rPr>
        <w:t xml:space="preserve">realizacji wspierania termomodernizacji </w:t>
      </w:r>
      <w:r w:rsidR="00DE3134" w:rsidRPr="00851B65">
        <w:rPr>
          <w:rFonts w:ascii="Open Sans" w:hAnsi="Open Sans" w:cs="Open Sans"/>
        </w:rPr>
        <w:t xml:space="preserve"> </w:t>
      </w:r>
      <w:r w:rsidR="00400546" w:rsidRPr="00851B65">
        <w:rPr>
          <w:rFonts w:ascii="Open Sans" w:hAnsi="Open Sans" w:cs="Open Sans"/>
        </w:rPr>
        <w:t>określonym w ostatecznie przyjętym scenariuszu realizacji inwestycji dotyczących poprawy efektywności energetycznej budynków użyteczności publicznej w ramach programu Fundusze Europejskie na Infrastrukturę, Klimat, Środowisko 2021-2027 (</w:t>
      </w:r>
      <w:proofErr w:type="spellStart"/>
      <w:r w:rsidR="00400546" w:rsidRPr="00851B65">
        <w:rPr>
          <w:rFonts w:ascii="Open Sans" w:hAnsi="Open Sans" w:cs="Open Sans"/>
        </w:rPr>
        <w:t>FEnIKS</w:t>
      </w:r>
      <w:proofErr w:type="spellEnd"/>
      <w:r w:rsidR="00400546" w:rsidRPr="00851B65">
        <w:rPr>
          <w:rFonts w:ascii="Open Sans" w:hAnsi="Open Sans" w:cs="Open Sans"/>
        </w:rPr>
        <w:t>) z  wykorzystaniem formuły ESCO</w:t>
      </w:r>
      <w:r w:rsidR="00723B52" w:rsidRPr="00851B65">
        <w:rPr>
          <w:rFonts w:ascii="Open Sans" w:hAnsi="Open Sans" w:cs="Open Sans"/>
        </w:rPr>
        <w:t>/EPC</w:t>
      </w:r>
      <w:r w:rsidR="000E302C" w:rsidRPr="00851B65">
        <w:rPr>
          <w:rFonts w:ascii="Open Sans" w:hAnsi="Open Sans" w:cs="Open Sans"/>
        </w:rPr>
        <w:t>.</w:t>
      </w:r>
    </w:p>
    <w:p w14:paraId="37309309" w14:textId="23A4AA26" w:rsidR="003175E3" w:rsidRPr="00851B65" w:rsidRDefault="003175E3" w:rsidP="00ED74F7">
      <w:pPr>
        <w:spacing w:line="288" w:lineRule="auto"/>
        <w:rPr>
          <w:rFonts w:ascii="Open Sans" w:hAnsi="Open Sans" w:cs="Open Sans"/>
          <w:b/>
          <w:bCs/>
        </w:rPr>
      </w:pPr>
      <w:r w:rsidRPr="00851B65">
        <w:rPr>
          <w:rFonts w:ascii="Open Sans" w:hAnsi="Open Sans" w:cs="Open Sans"/>
          <w:b/>
          <w:bCs/>
        </w:rPr>
        <w:t>Podstawowe zasady, definicje i wymagania określające realizację termomodernizacji w formule ESCO/EPC.</w:t>
      </w:r>
    </w:p>
    <w:p w14:paraId="236DB98D" w14:textId="23350688" w:rsidR="00BD0E43" w:rsidRPr="00851B65" w:rsidRDefault="00BD0E43" w:rsidP="00ED74F7">
      <w:pPr>
        <w:spacing w:line="288" w:lineRule="auto"/>
        <w:rPr>
          <w:rFonts w:ascii="Open Sans" w:hAnsi="Open Sans" w:cs="Open Sans"/>
        </w:rPr>
      </w:pPr>
      <w:r w:rsidRPr="00851B65">
        <w:rPr>
          <w:rFonts w:ascii="Open Sans" w:hAnsi="Open Sans" w:cs="Open Sans"/>
          <w:b/>
          <w:bCs/>
        </w:rPr>
        <w:t>Firma ESCO</w:t>
      </w:r>
      <w:r w:rsidRPr="00851B65">
        <w:rPr>
          <w:rFonts w:ascii="Open Sans" w:hAnsi="Open Sans" w:cs="Open Sans"/>
        </w:rPr>
        <w:t>, to podmiot, o którym mowa w przepisie art. 7 ust. 4 Ustawy o Efektywności Energetycznej (Obwieszczenie Marszałka Sejmu RP z dnia 14 października 2021 r.</w:t>
      </w:r>
      <w:r w:rsidRPr="00851B65">
        <w:rPr>
          <w:rFonts w:ascii="Open Sans" w:hAnsi="Open Sans" w:cs="Open Sans"/>
        </w:rPr>
        <w:br/>
        <w:t xml:space="preserve">w sprawie ogłoszenia jednolitego tekstu ustawy o efektywności energetycznej (Dz.U.2021 poz. 2166)), który realizuje Projekt EPC. Przedsiębiorstwo oszczędzania energii typu ESCO (skrót od Energy Service Company) to firma świadcząca usługi energetyczne lub dostarczająca innych środków poprawy efektywności energetycznej dla użytkownika/odbiorcy energii, biorąc przy tym na siebie pewną część ryzyka finansowego. Zapłata za wykonane usługi jest oparta (w całości lub w części) </w:t>
      </w:r>
      <w:r w:rsidRPr="00851B65">
        <w:rPr>
          <w:rFonts w:ascii="Open Sans" w:hAnsi="Open Sans" w:cs="Open Sans"/>
        </w:rPr>
        <w:br/>
        <w:t>na osiągnięciu poprawy efektywności energetycznej oraz spełnieniu innych uzgodnionych kryteriów efektywności.</w:t>
      </w:r>
    </w:p>
    <w:p w14:paraId="43742040" w14:textId="77777777" w:rsidR="00BD0E43" w:rsidRPr="00851B65" w:rsidRDefault="00BD0E43" w:rsidP="00ED74F7">
      <w:pPr>
        <w:spacing w:line="288" w:lineRule="auto"/>
        <w:rPr>
          <w:rFonts w:ascii="Open Sans" w:hAnsi="Open Sans" w:cs="Open Sans"/>
        </w:rPr>
      </w:pPr>
      <w:r w:rsidRPr="00851B65">
        <w:rPr>
          <w:rFonts w:ascii="Open Sans" w:hAnsi="Open Sans" w:cs="Open Sans"/>
          <w:b/>
          <w:bCs/>
        </w:rPr>
        <w:t>GOE</w:t>
      </w:r>
      <w:r w:rsidRPr="00851B65">
        <w:rPr>
          <w:rFonts w:ascii="Open Sans" w:hAnsi="Open Sans" w:cs="Open Sans"/>
        </w:rPr>
        <w:t xml:space="preserve"> - Gwarantowana Oszczędność Energii – wyrażona w języku technicznym wartość gwarantowana oszczędności energii określona w Umowie EPC, zapewniana corocznie, aż do zakończenia minimalnego okresu zarządzania energią przez firmę ESCO.</w:t>
      </w:r>
      <w:r w:rsidRPr="00851B65">
        <w:t xml:space="preserve"> </w:t>
      </w:r>
      <w:r w:rsidRPr="00851B65">
        <w:rPr>
          <w:rFonts w:ascii="Open Sans" w:hAnsi="Open Sans" w:cs="Open Sans"/>
        </w:rPr>
        <w:t>Osiągnięcie gwarantowanej oszczędności energii przedsiębiorstwo ESCO rozlicza przed Beneficjentem po pierwszym i kolejnym roku zarządzania energią z zachowaniem zasad określonych i ustalonych w umowie pomiędzy Beneficjentem a przedsiębiorstwem ESCO na podstawie raportu, przez cały okres zarządzania energią wynikający z Umowy EPC</w:t>
      </w:r>
    </w:p>
    <w:p w14:paraId="5D859037" w14:textId="6FBAC170" w:rsidR="003175E3" w:rsidRPr="00851B65" w:rsidRDefault="00BD0E43" w:rsidP="00ED74F7">
      <w:pPr>
        <w:spacing w:line="288" w:lineRule="auto"/>
        <w:rPr>
          <w:rFonts w:ascii="Open Sans" w:hAnsi="Open Sans" w:cs="Open Sans"/>
        </w:rPr>
      </w:pPr>
      <w:r w:rsidRPr="00851B65">
        <w:rPr>
          <w:rFonts w:ascii="Open Sans" w:hAnsi="Open Sans" w:cs="Open Sans"/>
          <w:b/>
          <w:bCs/>
        </w:rPr>
        <w:t xml:space="preserve">Formuła ESCO/EPC - </w:t>
      </w:r>
      <w:r w:rsidR="003175E3" w:rsidRPr="00851B65">
        <w:rPr>
          <w:rFonts w:ascii="Open Sans" w:hAnsi="Open Sans" w:cs="Open Sans"/>
        </w:rPr>
        <w:t xml:space="preserve">Nowością w termomodernizacji w formule ESCO/EPC w stosunku do klasycznych termomodernizacji jest wprowadzenie zarządzania energią przez firmy ESCO, w celu potwierdzania rocznych Gwarantowanych Oszczędności Energii (GOE), wykazywanych na podstawie faktycznego zużycia. W klasycznych termomodernizacjach realizowanych przez podmioty publiczne zazwyczaj nie jest wymagane zarządzanie energią, dzięki czemu planowane oszczędności energii mogły zostać wskazane jako możliwe do uzyskania tylko na poziomie deklaracji wynikającej z dokumentacji </w:t>
      </w:r>
      <w:r w:rsidR="003175E3" w:rsidRPr="00851B65">
        <w:rPr>
          <w:rFonts w:ascii="Open Sans" w:hAnsi="Open Sans" w:cs="Open Sans"/>
        </w:rPr>
        <w:lastRenderedPageBreak/>
        <w:t xml:space="preserve">projektowej. Co do zasady GOE nie musi być tożsamą oszczędnością energii wynikającą z obliczeń audytowych, ale jest to oszczędność energii gwarantowana przez firmę ESCO w Umowie EPC do utrzymania w cyklu rocznym. Zasady rozliczania dodatkowych oszczędności powstałych przy skutecznym zarzadzaniu energią i/lub kar za nieutrzymanie GOE w cyklu rocznym, co do zasady, reguluje Umowa EPC. Ponieważ audyty energetyczne ex-ante powinny stanowić istotny element wybranej oferty firmy ESCO, zarówno w odniesieniu do docelowego modelu usprawnień budynków, jak i wyceny kosztów tych usprawnień oraz będą potwierdzać spełnienie warunków technicznych planowanego naboru dla określonego poziomu wsparcia, zakłada się, że firma ESCO, biorąc na siebie większość </w:t>
      </w:r>
      <w:proofErr w:type="spellStart"/>
      <w:r w:rsidR="003175E3" w:rsidRPr="00851B65">
        <w:rPr>
          <w:rFonts w:ascii="Open Sans" w:hAnsi="Open Sans" w:cs="Open Sans"/>
        </w:rPr>
        <w:t>ryzyk</w:t>
      </w:r>
      <w:proofErr w:type="spellEnd"/>
      <w:r w:rsidR="003175E3" w:rsidRPr="00851B65">
        <w:rPr>
          <w:rFonts w:ascii="Open Sans" w:hAnsi="Open Sans" w:cs="Open Sans"/>
        </w:rPr>
        <w:t>, powinna mieć wpływ na ostateczny kształt audytu energetycznego czyli docelowego zestawu usprawnień w ramach poprawy efektywności energetycznej budynku użyteczności publicznej.</w:t>
      </w:r>
    </w:p>
    <w:p w14:paraId="2C425F19" w14:textId="77777777" w:rsidR="003175E3" w:rsidRPr="00851B65" w:rsidRDefault="003175E3" w:rsidP="00ED74F7">
      <w:pPr>
        <w:spacing w:line="288" w:lineRule="auto"/>
        <w:rPr>
          <w:rFonts w:ascii="Open Sans" w:hAnsi="Open Sans" w:cs="Open Sans"/>
          <w:b/>
        </w:rPr>
      </w:pPr>
      <w:r w:rsidRPr="00851B65">
        <w:rPr>
          <w:rFonts w:ascii="Open Sans" w:hAnsi="Open Sans" w:cs="Open Sans"/>
          <w:b/>
        </w:rPr>
        <w:t>Obligatoryjny system zarządzania energią BMS.</w:t>
      </w:r>
    </w:p>
    <w:p w14:paraId="66579842" w14:textId="444849B3" w:rsidR="003175E3" w:rsidRPr="00851B65" w:rsidRDefault="003175E3" w:rsidP="00ED74F7">
      <w:pPr>
        <w:spacing w:line="288" w:lineRule="auto"/>
        <w:rPr>
          <w:rFonts w:ascii="Open Sans" w:hAnsi="Open Sans" w:cs="Open Sans"/>
          <w:b/>
          <w:bCs/>
        </w:rPr>
      </w:pPr>
      <w:r w:rsidRPr="00851B65">
        <w:rPr>
          <w:rFonts w:ascii="Open Sans" w:hAnsi="Open Sans" w:cs="Open Sans"/>
        </w:rPr>
        <w:t>W ramach przedsięwzięcia realizowanego w formule ESCO/EPC wymaga się obligatoryjnie realizację systemu BMS (</w:t>
      </w:r>
      <w:proofErr w:type="spellStart"/>
      <w:r w:rsidRPr="00851B65">
        <w:rPr>
          <w:rFonts w:ascii="Open Sans" w:hAnsi="Open Sans" w:cs="Open Sans"/>
        </w:rPr>
        <w:t>Building</w:t>
      </w:r>
      <w:proofErr w:type="spellEnd"/>
      <w:r w:rsidRPr="00851B65">
        <w:rPr>
          <w:rFonts w:ascii="Open Sans" w:hAnsi="Open Sans" w:cs="Open Sans"/>
        </w:rPr>
        <w:t xml:space="preserve"> Management System), bez którego nie byłoby możliwe skuteczne zarządzanie energią w zmodernizowanych budynkach i rozliczanie GOE z poziomu Umowy EPC. System automatyki budynkowej każdorazowo powinien być zaprojektowany i przygotowany przez firmę ESCO dla konkretnej inwestycji z uwzględnieniem jej specyfiki, w celu skutecznego zarządzania energią i corocznego rozliczania gwarantowanych oszczędności energii (GOE), pozwalając efektywnie i w sposób oszczędny zarządzać całym obiektem z jednego miejsca. System BMS powinien kontrolować parametry pracy poszczególnych urządzeń, informować o problemach i awariach. System powinien w czytelny sposób pozwalać na podgląd parametrów pracy instalacji oraz zmianę wartości nastawionych.</w:t>
      </w:r>
    </w:p>
    <w:p w14:paraId="7DC2EDA1" w14:textId="77777777" w:rsidR="003175E3" w:rsidRPr="00851B65" w:rsidRDefault="003175E3" w:rsidP="00ED74F7">
      <w:pPr>
        <w:spacing w:line="288" w:lineRule="auto"/>
        <w:rPr>
          <w:rFonts w:ascii="Open Sans" w:hAnsi="Open Sans" w:cs="Open Sans"/>
          <w:b/>
          <w:bCs/>
        </w:rPr>
      </w:pPr>
      <w:r w:rsidRPr="00851B65">
        <w:rPr>
          <w:rFonts w:ascii="Open Sans" w:hAnsi="Open Sans" w:cs="Open Sans"/>
          <w:b/>
          <w:bCs/>
        </w:rPr>
        <w:t>Doradztwo techniczne (</w:t>
      </w:r>
      <w:proofErr w:type="spellStart"/>
      <w:r w:rsidRPr="00851B65">
        <w:rPr>
          <w:rFonts w:ascii="Open Sans" w:hAnsi="Open Sans" w:cs="Open Sans"/>
          <w:b/>
          <w:bCs/>
        </w:rPr>
        <w:t>facylitator</w:t>
      </w:r>
      <w:proofErr w:type="spellEnd"/>
      <w:r w:rsidRPr="00851B65">
        <w:rPr>
          <w:rFonts w:ascii="Open Sans" w:hAnsi="Open Sans" w:cs="Open Sans"/>
          <w:b/>
          <w:bCs/>
        </w:rPr>
        <w:t xml:space="preserve"> EPC).</w:t>
      </w:r>
    </w:p>
    <w:p w14:paraId="3A23229D" w14:textId="77777777" w:rsidR="003175E3" w:rsidRPr="00851B65" w:rsidRDefault="003175E3" w:rsidP="00ED74F7">
      <w:pPr>
        <w:spacing w:line="288" w:lineRule="auto"/>
        <w:rPr>
          <w:rFonts w:ascii="Open Sans" w:hAnsi="Open Sans" w:cs="Open Sans"/>
        </w:rPr>
      </w:pPr>
      <w:r w:rsidRPr="00851B65">
        <w:rPr>
          <w:rFonts w:ascii="Open Sans" w:hAnsi="Open Sans" w:cs="Open Sans"/>
        </w:rPr>
        <w:t xml:space="preserve">Ponadto, przewiduje się, że w ramach kosztów kwalifikowanych projektu beneficjent będzie mógł powołać tzw. </w:t>
      </w:r>
      <w:proofErr w:type="spellStart"/>
      <w:r w:rsidRPr="00851B65">
        <w:rPr>
          <w:rFonts w:ascii="Open Sans" w:hAnsi="Open Sans" w:cs="Open Sans"/>
        </w:rPr>
        <w:t>facylitatora</w:t>
      </w:r>
      <w:proofErr w:type="spellEnd"/>
      <w:r w:rsidRPr="00851B65">
        <w:rPr>
          <w:rFonts w:ascii="Open Sans" w:hAnsi="Open Sans" w:cs="Open Sans"/>
        </w:rPr>
        <w:t xml:space="preserve"> EPC (niezbędna pomoc techniczna do prowadzenia technicznego dialogu z firmą ESCO na każdym z etapów: od wyboru firmy ESCO, rozliczenie inwestycji, rozliczenie dofinansowania, aż do rozliczania GOE), czyli dowolnego eksperta/grupy ekspertów wybieranego w trybie konkurencyjnym (zgodnie z PZP), z uwzględnieniem jego lokalnej specyfiki, planowanego zakresu, lokalizacji oraz zidentyfikowanych potrzeb.</w:t>
      </w:r>
    </w:p>
    <w:p w14:paraId="70F3B4E1" w14:textId="77777777" w:rsidR="003175E3" w:rsidRPr="00851B65" w:rsidRDefault="003175E3" w:rsidP="00ED74F7">
      <w:pPr>
        <w:spacing w:line="288" w:lineRule="auto"/>
        <w:rPr>
          <w:rFonts w:ascii="Open Sans" w:hAnsi="Open Sans" w:cs="Open Sans"/>
        </w:rPr>
      </w:pPr>
      <w:r w:rsidRPr="00851B65">
        <w:rPr>
          <w:rFonts w:ascii="Open Sans" w:hAnsi="Open Sans" w:cs="Open Sans"/>
        </w:rPr>
        <w:t xml:space="preserve">Dopuszcza się możliwość składania wniosków o dofinansowanie w tej formule, gdy beneficjent nie ma jeszcze zawartej umowy EPC i wybranej firmy ESCO. Pojawia się </w:t>
      </w:r>
      <w:r w:rsidRPr="00851B65">
        <w:rPr>
          <w:rFonts w:ascii="Open Sans" w:hAnsi="Open Sans" w:cs="Open Sans"/>
        </w:rPr>
        <w:lastRenderedPageBreak/>
        <w:t xml:space="preserve">wtedy możliwość uzyskania realnego wsparcia technicznego (ww. </w:t>
      </w:r>
      <w:proofErr w:type="spellStart"/>
      <w:r w:rsidRPr="00851B65">
        <w:rPr>
          <w:rFonts w:ascii="Open Sans" w:hAnsi="Open Sans" w:cs="Open Sans"/>
        </w:rPr>
        <w:t>facylitatora</w:t>
      </w:r>
      <w:proofErr w:type="spellEnd"/>
      <w:r w:rsidRPr="00851B65">
        <w:rPr>
          <w:rFonts w:ascii="Open Sans" w:hAnsi="Open Sans" w:cs="Open Sans"/>
        </w:rPr>
        <w:t>), w ramach projektu, na etap przygotowania wyboru firmy ESCO z uwzględnieniem PZP i posiadania wsparcia technicznego na etap zawierania Umowy EPC, gdzie struktura zagadnień technicznych rozliczania corocznej Gwarantowanej Oszczędności Energii jest kluczowa dla zabezpieczenia interesów stron Umowy EPC.</w:t>
      </w:r>
    </w:p>
    <w:p w14:paraId="0C9062A3" w14:textId="77777777" w:rsidR="003175E3" w:rsidRPr="00851B65" w:rsidRDefault="003175E3" w:rsidP="00ED74F7">
      <w:pPr>
        <w:spacing w:line="288" w:lineRule="auto"/>
        <w:rPr>
          <w:rFonts w:ascii="Open Sans" w:hAnsi="Open Sans" w:cs="Open Sans"/>
          <w:color w:val="000000" w:themeColor="text1"/>
        </w:rPr>
      </w:pPr>
      <w:r w:rsidRPr="00851B65">
        <w:rPr>
          <w:rFonts w:ascii="Open Sans" w:hAnsi="Open Sans" w:cs="Open Sans"/>
          <w:b/>
          <w:bCs/>
          <w:color w:val="000000" w:themeColor="text1"/>
        </w:rPr>
        <w:t xml:space="preserve">Audyt energetyczny, w formule ESCO/EPC. </w:t>
      </w:r>
      <w:r w:rsidRPr="00851B65">
        <w:rPr>
          <w:rFonts w:ascii="Open Sans" w:hAnsi="Open Sans" w:cs="Open Sans"/>
          <w:color w:val="000000" w:themeColor="text1"/>
        </w:rPr>
        <w:t xml:space="preserve">Należy uznać, iż na potrzeby przygotowania inwestycji oraz aplikowania o środki, za audyt energetyczny, rozumie się audyt energetyczny przygotowany dla podmiotu publicznego w celu przeprowadzenia wyboru najkorzystniejszej oferty firmy ESCO w trybie zgodnym z Prawem zamówień publicznych (o ile firma ESCO nie została wybrana przed złożeniem dokumentów aplikacyjnych). Natomiast na etapie realizacji przedsięwzięcia i realizacji celów programu priorytetowego, audyt energetyczny powinien zostać potwierdzony przez firmę ESCO, z dopuszczeniem jego modyfikacji zgodnie z usprawnieniami zaproponowanymi przez firmę ESCO, z zastrzeżeniem spełnienia warunków Programu i dokumentów naborowych, w szczególności niniejszych Wytycznych. Zakłada się bowiem, że zarówno w odniesieniu do bilansów energii, docelowego modelu usprawnień budynków, jak i wyceny kosztów tych usprawnień, firma ESCO, biorąc na siebie część </w:t>
      </w:r>
      <w:proofErr w:type="spellStart"/>
      <w:r w:rsidRPr="00851B65">
        <w:rPr>
          <w:rFonts w:ascii="Open Sans" w:hAnsi="Open Sans" w:cs="Open Sans"/>
          <w:color w:val="000000" w:themeColor="text1"/>
        </w:rPr>
        <w:t>ryzyk</w:t>
      </w:r>
      <w:proofErr w:type="spellEnd"/>
      <w:r w:rsidRPr="00851B65">
        <w:rPr>
          <w:rFonts w:ascii="Open Sans" w:hAnsi="Open Sans" w:cs="Open Sans"/>
          <w:color w:val="000000" w:themeColor="text1"/>
        </w:rPr>
        <w:t>, powinna mieć wpływ na ostateczny kształt audytu energetycznego, w tym docelowego zestawu usprawnień w ramach poprawy efektywności energetycznej budynku użyteczności publicznej realizowanej zgodnie z Umową EPC. Po przedstawieniu audytu potwierdzonego przez firmę ESCO, przedsięwzięcie zostanie ponownie ocenione pod kątem spełnienia kryteriów i warunków programu, a umowa o dofinansowanie w tym zakresie (łącznie z kosztami realizacji i warunkami dofinansowania) ewentualnie zmieniona.</w:t>
      </w:r>
    </w:p>
    <w:p w14:paraId="1A24BA78" w14:textId="77777777" w:rsidR="003175E3" w:rsidRPr="00851B65" w:rsidRDefault="003175E3" w:rsidP="00ED74F7">
      <w:pPr>
        <w:spacing w:line="288" w:lineRule="auto"/>
        <w:rPr>
          <w:rFonts w:ascii="Open Sans" w:hAnsi="Open Sans" w:cs="Open Sans"/>
          <w:bCs/>
          <w:color w:val="000000" w:themeColor="text1"/>
        </w:rPr>
      </w:pPr>
      <w:r w:rsidRPr="00851B65">
        <w:rPr>
          <w:rFonts w:ascii="Open Sans" w:hAnsi="Open Sans" w:cs="Open Sans"/>
          <w:bCs/>
          <w:color w:val="000000" w:themeColor="text1"/>
        </w:rPr>
        <w:t>Co do zasady, porównywana powinna być charakterystyka energetyczna budynku przed i po modernizacji z uwzględnieniem pełnego bilansu energii (na ogrzewanie, wentylację, ciepłą wodę użytkową, chłodzenie (jeśli dotyczy), oświetlenie wbudowane, energię elektryczną pomocniczą wraz z analizą OZE) wybranego przez audytora docelowego scenariusza usprawnień na podstawie audytu energetycznego wykonanego zgodnie z Rozporządzeniem Ministra Infrastruktury z dnia 17 marca 2009 r., przy użyciu tej samej metodologii i zasad pracy/obciążenia budynku przed i po modernizacji (liczba użytkowników budynku, ta sama funkcja, ten sam czas pracy oświetlenia wbudowanego, te same wymagania wymian strumieni powietrza itp.).</w:t>
      </w:r>
    </w:p>
    <w:p w14:paraId="0E124A5D" w14:textId="77777777" w:rsidR="003175E3" w:rsidRPr="00851B65" w:rsidRDefault="003175E3" w:rsidP="00ED74F7">
      <w:pPr>
        <w:spacing w:line="288" w:lineRule="auto"/>
        <w:rPr>
          <w:rFonts w:ascii="Open Sans" w:hAnsi="Open Sans" w:cs="Open Sans"/>
          <w:color w:val="000000" w:themeColor="text1"/>
        </w:rPr>
      </w:pPr>
      <w:r w:rsidRPr="00851B65">
        <w:rPr>
          <w:rFonts w:ascii="Open Sans" w:hAnsi="Open Sans" w:cs="Open Sans"/>
          <w:color w:val="000000" w:themeColor="text1"/>
        </w:rPr>
        <w:t xml:space="preserve">Wyliczone oszczędności energii w audycie energetycznym nie należy traktować jednoznacznie z gwarantowanymi oszczędnościami energii (GOE) – prezentowanymi w </w:t>
      </w:r>
      <w:r w:rsidRPr="00851B65">
        <w:rPr>
          <w:rFonts w:ascii="Open Sans" w:hAnsi="Open Sans" w:cs="Open Sans"/>
          <w:color w:val="000000" w:themeColor="text1"/>
        </w:rPr>
        <w:lastRenderedPageBreak/>
        <w:t>Umowie EPC i gwarantowanymi rokrocznie przez firmę ESCO – przez okres zarządzania energią. Co do zasady Umowa EPC, (a więc i wyliczenia GOE) może dotyczyć szerszego działania audytowego, dotyczącego pełnej analizy zużycia energii w danym budynku lub zespole budynków, z uwzględnieniem usług prywatnych lub publicznych (w tym umów na dostarczenie energii czy też paliw), które określi możliwości realizacji inwestycji prowadzących do uzyskania opłacalnych ekonomicznie oszczędności energetycznych.</w:t>
      </w:r>
    </w:p>
    <w:p w14:paraId="3CD5B41C" w14:textId="77777777" w:rsidR="003175E3" w:rsidRPr="00851B65" w:rsidRDefault="003175E3" w:rsidP="00ED74F7">
      <w:pPr>
        <w:spacing w:line="288" w:lineRule="auto"/>
        <w:rPr>
          <w:rFonts w:ascii="Open Sans" w:hAnsi="Open Sans" w:cs="Open Sans"/>
          <w:b/>
        </w:rPr>
      </w:pPr>
      <w:r w:rsidRPr="00851B65">
        <w:rPr>
          <w:rFonts w:ascii="Open Sans" w:hAnsi="Open Sans" w:cs="Open Sans"/>
          <w:b/>
        </w:rPr>
        <w:t>Minimalny okres zarządzania energią.</w:t>
      </w:r>
    </w:p>
    <w:p w14:paraId="6D6B70E8" w14:textId="3DF2089D" w:rsidR="003175E3" w:rsidRPr="00851B65" w:rsidRDefault="003175E3" w:rsidP="00ED74F7">
      <w:pPr>
        <w:spacing w:line="288" w:lineRule="auto"/>
        <w:rPr>
          <w:rFonts w:ascii="Open Sans" w:hAnsi="Open Sans" w:cs="Open Sans"/>
        </w:rPr>
      </w:pPr>
      <w:r w:rsidRPr="00851B65">
        <w:rPr>
          <w:rFonts w:ascii="Open Sans" w:hAnsi="Open Sans" w:cs="Open Sans"/>
        </w:rPr>
        <w:t>Wymaganym minimalnym okresem zarządzania energią przez firmę ESCO budynkami objętymi dofinansowaniem jest nie krótszy niż okres trwałości projektu wynikający z zapisów umowy o dofinansowanie ze środków UE dla danego przedsięwzięcia. Zaleca się przeanalizowanie wydłużenia tego okresu na okres spłat pożyczek uzyskanych w ramach dofinansowania</w:t>
      </w:r>
      <w:r w:rsidR="00DC0E18" w:rsidRPr="00851B65">
        <w:rPr>
          <w:rFonts w:ascii="Open Sans" w:hAnsi="Open Sans" w:cs="Open Sans"/>
        </w:rPr>
        <w:t xml:space="preserve"> (jeśli dotyczy)</w:t>
      </w:r>
      <w:r w:rsidRPr="00851B65">
        <w:rPr>
          <w:rFonts w:ascii="Open Sans" w:hAnsi="Open Sans" w:cs="Open Sans"/>
        </w:rPr>
        <w:t>.</w:t>
      </w:r>
    </w:p>
    <w:p w14:paraId="2B2F524E" w14:textId="77777777" w:rsidR="00FA6888" w:rsidRPr="00851B65" w:rsidRDefault="00FA6888" w:rsidP="00ED74F7">
      <w:pPr>
        <w:spacing w:line="288" w:lineRule="auto"/>
        <w:rPr>
          <w:rFonts w:ascii="Open Sans" w:hAnsi="Open Sans" w:cs="Open Sans"/>
          <w:b/>
          <w:bCs/>
        </w:rPr>
      </w:pPr>
      <w:r w:rsidRPr="00851B65">
        <w:rPr>
          <w:rFonts w:ascii="Open Sans" w:hAnsi="Open Sans" w:cs="Open Sans"/>
          <w:b/>
          <w:bCs/>
        </w:rPr>
        <w:t>Umowa EPC</w:t>
      </w:r>
    </w:p>
    <w:p w14:paraId="51753228" w14:textId="77777777" w:rsidR="00FA6888" w:rsidRPr="00851B65" w:rsidRDefault="00FA6888" w:rsidP="00ED74F7">
      <w:pPr>
        <w:spacing w:line="288" w:lineRule="auto"/>
        <w:rPr>
          <w:rFonts w:ascii="Open Sans" w:hAnsi="Open Sans" w:cs="Open Sans"/>
        </w:rPr>
      </w:pPr>
      <w:r w:rsidRPr="00851B65">
        <w:rPr>
          <w:rFonts w:ascii="Open Sans" w:hAnsi="Open Sans" w:cs="Open Sans"/>
        </w:rPr>
        <w:t xml:space="preserve">Umowa EPC (Energy Performance </w:t>
      </w:r>
      <w:proofErr w:type="spellStart"/>
      <w:r w:rsidRPr="00851B65">
        <w:rPr>
          <w:rFonts w:ascii="Open Sans" w:hAnsi="Open Sans" w:cs="Open Sans"/>
        </w:rPr>
        <w:t>Contracting</w:t>
      </w:r>
      <w:proofErr w:type="spellEnd"/>
      <w:r w:rsidRPr="00851B65">
        <w:rPr>
          <w:rFonts w:ascii="Open Sans" w:hAnsi="Open Sans" w:cs="Open Sans"/>
        </w:rPr>
        <w:t>) – to umowa między beneficjentem/właścicielem budynku a dostawcą usług energetycznych (firmą ESCO), która określa warunki realizacji, finansowania i spłaty inwestycji.</w:t>
      </w:r>
    </w:p>
    <w:p w14:paraId="18120EBC" w14:textId="77777777" w:rsidR="00FA6888" w:rsidRPr="00851B65" w:rsidRDefault="00FA6888" w:rsidP="00ED74F7">
      <w:pPr>
        <w:spacing w:line="288" w:lineRule="auto"/>
        <w:rPr>
          <w:rFonts w:ascii="Open Sans" w:hAnsi="Open Sans" w:cs="Open Sans"/>
        </w:rPr>
      </w:pPr>
      <w:r w:rsidRPr="00851B65">
        <w:rPr>
          <w:rFonts w:ascii="Open Sans" w:hAnsi="Open Sans" w:cs="Open Sans"/>
        </w:rPr>
        <w:t>Dostępne wzory umowy EPC dla termomodernizacji budynków:</w:t>
      </w:r>
    </w:p>
    <w:p w14:paraId="07CC12D9" w14:textId="24403E02" w:rsidR="00FA6888" w:rsidRPr="00851B65" w:rsidRDefault="00FA6888" w:rsidP="006230D1">
      <w:pPr>
        <w:pStyle w:val="Akapitzlist"/>
        <w:numPr>
          <w:ilvl w:val="1"/>
          <w:numId w:val="41"/>
        </w:numPr>
        <w:spacing w:line="288" w:lineRule="auto"/>
        <w:ind w:left="426"/>
        <w:rPr>
          <w:rFonts w:ascii="Open Sans" w:hAnsi="Open Sans" w:cs="Open Sans"/>
        </w:rPr>
      </w:pPr>
      <w:r w:rsidRPr="00851B65">
        <w:rPr>
          <w:rFonts w:ascii="Open Sans" w:hAnsi="Open Sans" w:cs="Open Sans"/>
        </w:rPr>
        <w:t xml:space="preserve">Ministerstwo Klimatu i Środowiska udostępniło praktyczne opracowanie i narzędzie dla jednostek sektora publicznego w postaci wytycznych do realizacji inwestycji w modelu finansowania ESCO (z ang. Energy </w:t>
      </w:r>
      <w:proofErr w:type="spellStart"/>
      <w:r w:rsidRPr="00851B65">
        <w:rPr>
          <w:rFonts w:ascii="Open Sans" w:hAnsi="Open Sans" w:cs="Open Sans"/>
        </w:rPr>
        <w:t>Saving</w:t>
      </w:r>
      <w:proofErr w:type="spellEnd"/>
      <w:r w:rsidRPr="00851B65">
        <w:rPr>
          <w:rFonts w:ascii="Open Sans" w:hAnsi="Open Sans" w:cs="Open Sans"/>
        </w:rPr>
        <w:t xml:space="preserve"> Company) tzw. umów o poprawę efektywności energetycznej. Co do zasady, formuła ESCO/EPC to rozwiązanie w ramach którego specjalistyczne firmy (ESCO) oferują wdrożenie przedsięwzięć służących poprawie efektywności energetycznej, bez konieczności angażowania przez klienta własnych zasobów finansowych (z wykorzystaniem uzyskanego dofinansowania) na starcie projektu, przy jednoczesnym zobowiązaniu do uzyskania i utrzymania przez określony czas, Gwarantowanych Oszczędności Energii (GOE). Koszty inwestycji, w części lub w całości mogą spłacane są z uzyskanych oszczędności energii, poprzez widoczną różnicę w rachunkach za energię.</w:t>
      </w:r>
    </w:p>
    <w:p w14:paraId="3AFBCC6C" w14:textId="77777777" w:rsidR="00FA6888" w:rsidRPr="00851B65" w:rsidRDefault="00FA6888" w:rsidP="006230D1">
      <w:pPr>
        <w:pStyle w:val="Akapitzlist"/>
        <w:spacing w:line="288" w:lineRule="auto"/>
        <w:ind w:left="426"/>
        <w:rPr>
          <w:rFonts w:ascii="Open Sans" w:hAnsi="Open Sans" w:cs="Open Sans"/>
        </w:rPr>
      </w:pPr>
      <w:r w:rsidRPr="00851B65">
        <w:rPr>
          <w:rFonts w:ascii="Open Sans" w:hAnsi="Open Sans" w:cs="Open Sans"/>
        </w:rPr>
        <w:t>Wzorzec umów EPC:</w:t>
      </w:r>
    </w:p>
    <w:p w14:paraId="68DE30E9" w14:textId="29A8FD7A" w:rsidR="00FA6888" w:rsidRPr="006230D1" w:rsidRDefault="006230D1" w:rsidP="006230D1">
      <w:pPr>
        <w:pStyle w:val="Akapitzlist"/>
        <w:spacing w:line="288" w:lineRule="auto"/>
        <w:ind w:left="426"/>
        <w:rPr>
          <w:rFonts w:ascii="Open Sans" w:hAnsi="Open Sans" w:cs="Open Sans"/>
        </w:rPr>
      </w:pPr>
      <w:hyperlink r:id="rId10" w:history="1">
        <w:r w:rsidRPr="00DB2804">
          <w:rPr>
            <w:rStyle w:val="Hipercze"/>
            <w:rFonts w:ascii="Open Sans" w:hAnsi="Open Sans" w:cs="Open Sans"/>
          </w:rPr>
          <w:t>https://www.gov.pl/web/klimat/wytyczne-do-umow-o-poprawe-efektywnosci-energetycznej-epc</w:t>
        </w:r>
      </w:hyperlink>
    </w:p>
    <w:p w14:paraId="2F074724" w14:textId="160F3B1B" w:rsidR="00FA6888" w:rsidRPr="00851B65" w:rsidRDefault="00FA6888" w:rsidP="006230D1">
      <w:pPr>
        <w:pStyle w:val="Akapitzlist"/>
        <w:spacing w:line="288" w:lineRule="auto"/>
        <w:ind w:left="426"/>
        <w:rPr>
          <w:rFonts w:ascii="Open Sans" w:hAnsi="Open Sans" w:cs="Open Sans"/>
        </w:rPr>
      </w:pPr>
      <w:r w:rsidRPr="00851B65">
        <w:rPr>
          <w:rFonts w:ascii="Open Sans" w:hAnsi="Open Sans" w:cs="Open Sans"/>
        </w:rPr>
        <w:t xml:space="preserve">NFOŚiGW opracował na potrzeby naboru w ramach Funduszu Modernizacyjnego program dedykowany wsparciu termomodernizacji w modelu ESCO/EPC: „Renowacja z gwarancją oszczędności EPC (Energy Performance </w:t>
      </w:r>
      <w:proofErr w:type="spellStart"/>
      <w:r w:rsidRPr="00851B65">
        <w:rPr>
          <w:rFonts w:ascii="Open Sans" w:hAnsi="Open Sans" w:cs="Open Sans"/>
        </w:rPr>
        <w:t>Contract</w:t>
      </w:r>
      <w:proofErr w:type="spellEnd"/>
      <w:r w:rsidRPr="00851B65">
        <w:rPr>
          <w:rFonts w:ascii="Open Sans" w:hAnsi="Open Sans" w:cs="Open Sans"/>
        </w:rPr>
        <w:t xml:space="preserve">) Plus”. </w:t>
      </w:r>
      <w:r w:rsidR="006230D1">
        <w:rPr>
          <w:rFonts w:ascii="Open Sans" w:hAnsi="Open Sans" w:cs="Open Sans"/>
        </w:rPr>
        <w:br/>
      </w:r>
      <w:r w:rsidRPr="00851B65">
        <w:rPr>
          <w:rFonts w:ascii="Open Sans" w:hAnsi="Open Sans" w:cs="Open Sans"/>
        </w:rPr>
        <w:lastRenderedPageBreak/>
        <w:t>W dokumentach naborowych niniejszego programu zaproponowano wzór Umowy EPC wraz z załącznikami w tym: „Standardy Dostępności”.</w:t>
      </w:r>
    </w:p>
    <w:p w14:paraId="45410A84" w14:textId="77777777" w:rsidR="00FA6888" w:rsidRPr="00851B65" w:rsidRDefault="00FA6888" w:rsidP="006230D1">
      <w:pPr>
        <w:pStyle w:val="Akapitzlist"/>
        <w:numPr>
          <w:ilvl w:val="1"/>
          <w:numId w:val="41"/>
        </w:numPr>
        <w:spacing w:line="288" w:lineRule="auto"/>
        <w:ind w:left="426"/>
        <w:rPr>
          <w:rFonts w:ascii="Open Sans" w:hAnsi="Open Sans" w:cs="Open Sans"/>
        </w:rPr>
      </w:pPr>
      <w:r w:rsidRPr="00851B65">
        <w:rPr>
          <w:rFonts w:ascii="Open Sans" w:hAnsi="Open Sans" w:cs="Open Sans"/>
        </w:rPr>
        <w:t>Dokument „Standardy Dostępności Budynków” jest dokumentem modelowym uwzględniającym wszystkie możliwe usprawnienia i rodzaje energii mogące być przedmiotem Inwestycji i uwzględniającym możliwości przeliczenia wyników licznikowych uzyskanych w roku n na warunki bazowe, co umożliwia jednoznaczne, rokroczne rozliczenie się z uzyskania Gwarantowanych Oszczędności Energii (GOE). Dokument ten winien być dostosowywany do realizowanej inwestycji. Zaproponowano również wzór raportu rozliczenia GOE. NFOŚiGW zachęca do zapoznania się i skorzystania z niniejszych dokumentów.</w:t>
      </w:r>
    </w:p>
    <w:p w14:paraId="6B3D4D02" w14:textId="77777777" w:rsidR="00FA6888" w:rsidRPr="00851B65" w:rsidRDefault="00FA6888" w:rsidP="006230D1">
      <w:pPr>
        <w:spacing w:line="288" w:lineRule="auto"/>
        <w:ind w:firstLine="426"/>
        <w:rPr>
          <w:rFonts w:ascii="Open Sans" w:hAnsi="Open Sans" w:cs="Open Sans"/>
        </w:rPr>
      </w:pPr>
      <w:r w:rsidRPr="00851B65">
        <w:rPr>
          <w:rFonts w:ascii="Open Sans" w:hAnsi="Open Sans" w:cs="Open Sans"/>
        </w:rPr>
        <w:t>Wzór Umowy EPC opracowany przez NFOŚiGW wraz z załącznikami:</w:t>
      </w:r>
    </w:p>
    <w:p w14:paraId="29C02483" w14:textId="77777777" w:rsidR="00FA6888" w:rsidRPr="00851B65" w:rsidRDefault="00FA6888" w:rsidP="006230D1">
      <w:pPr>
        <w:spacing w:line="288" w:lineRule="auto"/>
        <w:ind w:left="426"/>
        <w:rPr>
          <w:rFonts w:ascii="Open Sans" w:hAnsi="Open Sans" w:cs="Open Sans"/>
        </w:rPr>
      </w:pPr>
      <w:hyperlink r:id="rId11" w:history="1">
        <w:r w:rsidRPr="00851B65">
          <w:rPr>
            <w:rStyle w:val="Hipercze"/>
            <w:rFonts w:ascii="Open Sans" w:hAnsi="Open Sans" w:cs="Open Sans"/>
          </w:rPr>
          <w:t>https://www.gov.pl/web/funduszmodernizacyjny/renowacja-z-gwarancja-oszczednosci-epc-energy-performance-contract-plus-nabor-ii</w:t>
        </w:r>
      </w:hyperlink>
    </w:p>
    <w:p w14:paraId="4B4586E3" w14:textId="77777777" w:rsidR="00FA6888" w:rsidRPr="00851B65" w:rsidRDefault="00FA6888" w:rsidP="00ED74F7">
      <w:pPr>
        <w:spacing w:line="288" w:lineRule="auto"/>
        <w:rPr>
          <w:rFonts w:ascii="Open Sans" w:hAnsi="Open Sans" w:cs="Open Sans"/>
        </w:rPr>
      </w:pPr>
      <w:r w:rsidRPr="00851B65">
        <w:rPr>
          <w:rFonts w:ascii="Open Sans" w:hAnsi="Open Sans" w:cs="Open Sans"/>
        </w:rPr>
        <w:t>Ww. wzory umów EPC mogą być modyfikowane, jeżeli jest to niezbędne w celu dostosowania do specyfiki Inwestycji i instytucjonalności stron. Umowa EPC musi jednak zachować charakter umowy EPC z gwarantowaną oszczędnością energii:</w:t>
      </w:r>
    </w:p>
    <w:p w14:paraId="45548F60" w14:textId="3258582F"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 xml:space="preserve">umowa EPC powinna przypisywać część </w:t>
      </w:r>
      <w:proofErr w:type="spellStart"/>
      <w:r w:rsidRPr="008C2D05">
        <w:rPr>
          <w:rFonts w:ascii="Open Sans" w:hAnsi="Open Sans" w:cs="Open Sans"/>
        </w:rPr>
        <w:t>ryzyk</w:t>
      </w:r>
      <w:proofErr w:type="spellEnd"/>
      <w:r w:rsidRPr="008C2D05">
        <w:rPr>
          <w:rFonts w:ascii="Open Sans" w:hAnsi="Open Sans" w:cs="Open Sans"/>
        </w:rPr>
        <w:t xml:space="preserve"> (w tym: coroczne uzyskiwanie GOE) dostawcy usług energetycznych (firmie ESCO) z uwzględnieniem minimalnego okresu zarządzania energią w budynku/ach;</w:t>
      </w:r>
    </w:p>
    <w:p w14:paraId="580D38B4" w14:textId="4BCDC33E"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umowa EPC powinna zawierać określone minimalne standardy energetyczne i techniczne utrzymania budynku/pomieszczeń z uwzględnieniem podziału obowiązków i odpowiedzialności stron (np. w przypadku występowania awarii, remontów itp.) i wpływu na coroczne uzyskanie/potwierdzanie uzyskania/utrzymania GOE (wraz z metodologią wyliczeń i raportowania) wraz z podziałem odpowiedzialności – w tym finansowej dostawcy usług energetycznych (firmie ESCO) za ich dotrzymanie(premia)/niedotrzymanie (kara) występujące w wyniku jego starań/zaniechań;</w:t>
      </w:r>
    </w:p>
    <w:p w14:paraId="0E4541A3" w14:textId="2667A2EF"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 xml:space="preserve">umowa EPC powinna przewidywać uzyskiwanie efektów (Efektu Ekologicznego) i osiągnięcie zakresu realizacji inwestycji (Efektu Rzeczowego), zgodnie z warunkami opisanymi w </w:t>
      </w:r>
      <w:proofErr w:type="spellStart"/>
      <w:r w:rsidRPr="008C2D05">
        <w:rPr>
          <w:rFonts w:ascii="Open Sans" w:hAnsi="Open Sans" w:cs="Open Sans"/>
        </w:rPr>
        <w:t>UoD</w:t>
      </w:r>
      <w:proofErr w:type="spellEnd"/>
      <w:r w:rsidRPr="008C2D05">
        <w:rPr>
          <w:rFonts w:ascii="Open Sans" w:hAnsi="Open Sans" w:cs="Open Sans"/>
        </w:rPr>
        <w:t xml:space="preserve"> z NFOŚiGW;</w:t>
      </w:r>
    </w:p>
    <w:p w14:paraId="11F3C171" w14:textId="3CFCBFF3"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 xml:space="preserve">umowa EPC powinna uwzględniać obowiązek dostarczenia przez dostawcę usług energetycznych (firmę ESCO) wszelkiej dokumentacji niezbędnej do rozliczenia realizacji inwestycji zgodnie z warunkami opisanymi w </w:t>
      </w:r>
      <w:proofErr w:type="spellStart"/>
      <w:r w:rsidRPr="008C2D05">
        <w:rPr>
          <w:rFonts w:ascii="Open Sans" w:hAnsi="Open Sans" w:cs="Open Sans"/>
        </w:rPr>
        <w:t>UoD</w:t>
      </w:r>
      <w:proofErr w:type="spellEnd"/>
      <w:r w:rsidRPr="008C2D05">
        <w:rPr>
          <w:rFonts w:ascii="Open Sans" w:hAnsi="Open Sans" w:cs="Open Sans"/>
        </w:rPr>
        <w:t xml:space="preserve"> z NFOŚiGW warunkującymi potwierdzenie uzyskania dofinansowania;</w:t>
      </w:r>
    </w:p>
    <w:p w14:paraId="4F50BA81" w14:textId="453121DA"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lastRenderedPageBreak/>
        <w:t>dostawca usługi energetycznej (firma ESCO) zapewnia wykwalifikowany personel do realizacji projektu EPC - specjaliści dostawcy usługi posiadają odpowiednie kwalifikacje i zdolności związane z przygotowaniem i realizacją Umowy EPC – zarówno na okres realizacji inwestycji jak i na okres zarządzania energią;</w:t>
      </w:r>
    </w:p>
    <w:p w14:paraId="670FD861" w14:textId="7309332A"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dostawca usługi energetycznej EPC (firma ESCO) oraz klient postępują zgodnie z wszelkimi przepisami i obowiązującym w danym kraju prawem, w tym szczególnie przepisami prawa budowlanego;</w:t>
      </w:r>
    </w:p>
    <w:p w14:paraId="65ECE232" w14:textId="7703578B"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umowa EPC powinna przewidywać minimalny okres zarządzania energią, co do zasady,</w:t>
      </w:r>
      <w:r w:rsidRPr="00851B65">
        <w:t xml:space="preserve"> </w:t>
      </w:r>
      <w:r w:rsidRPr="008C2D05">
        <w:rPr>
          <w:rFonts w:ascii="Open Sans" w:hAnsi="Open Sans" w:cs="Open Sans"/>
        </w:rPr>
        <w:t xml:space="preserve">do spłaty inwestycji z uzyskanych oszczędności energii, ale nie krócej niż pięcioletni okres trwałości opisany w </w:t>
      </w:r>
      <w:proofErr w:type="spellStart"/>
      <w:r w:rsidRPr="008C2D05">
        <w:rPr>
          <w:rFonts w:ascii="Open Sans" w:hAnsi="Open Sans" w:cs="Open Sans"/>
        </w:rPr>
        <w:t>UoD</w:t>
      </w:r>
      <w:proofErr w:type="spellEnd"/>
      <w:r w:rsidRPr="008C2D05">
        <w:rPr>
          <w:rFonts w:ascii="Open Sans" w:hAnsi="Open Sans" w:cs="Open Sans"/>
        </w:rPr>
        <w:t xml:space="preserve"> z NFOŚiGW;</w:t>
      </w:r>
    </w:p>
    <w:p w14:paraId="4BAE73A7" w14:textId="4D429DAB"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umowa EPC powinna przewidywać, co najmniej raz na rok, procedurę raportowania, rozliczania uzyskiwania GOE pomiędzy stronami i pozostałych warunków umowy o zarządzanie energią w budynku z zapewnieniem obowiązywania przynajmniej do końca minimalnego okresu zarządzania energią;</w:t>
      </w:r>
    </w:p>
    <w:p w14:paraId="7E979F30" w14:textId="2968FCC1" w:rsidR="00FA6888" w:rsidRPr="008C2D05" w:rsidRDefault="00FA6888" w:rsidP="006230D1">
      <w:pPr>
        <w:pStyle w:val="Akapitzlist"/>
        <w:numPr>
          <w:ilvl w:val="2"/>
          <w:numId w:val="42"/>
        </w:numPr>
        <w:spacing w:line="288" w:lineRule="auto"/>
        <w:ind w:left="284"/>
        <w:rPr>
          <w:rFonts w:ascii="Open Sans" w:hAnsi="Open Sans" w:cs="Open Sans"/>
        </w:rPr>
      </w:pPr>
      <w:r w:rsidRPr="008C2D05">
        <w:rPr>
          <w:rFonts w:ascii="Open Sans" w:hAnsi="Open Sans" w:cs="Open Sans"/>
        </w:rPr>
        <w:t>w przypadku ewentualnych sporów np. związanych z rozliczaniem GOE, umowa EPC, powinna uwzględniać mniejsze doświadczenie ze strony beneficjenta, które może być zrównoważone poprzez wyspecjalizowaną firmę doradczą.</w:t>
      </w:r>
    </w:p>
    <w:p w14:paraId="19C2E642" w14:textId="043D9C78" w:rsidR="00FA6888" w:rsidRPr="00851B65" w:rsidRDefault="00FA6888" w:rsidP="00ED74F7">
      <w:pPr>
        <w:spacing w:line="288" w:lineRule="auto"/>
        <w:rPr>
          <w:rFonts w:ascii="Open Sans" w:hAnsi="Open Sans" w:cs="Open Sans"/>
        </w:rPr>
      </w:pPr>
      <w:r w:rsidRPr="00851B65">
        <w:rPr>
          <w:rFonts w:ascii="Open Sans" w:hAnsi="Open Sans" w:cs="Open Sans"/>
        </w:rPr>
        <w:t xml:space="preserve">Umowa EPC (lub kilka umów EPC) i umowy o wsparcie zawarte w ramach instrumentu finansowego </w:t>
      </w:r>
      <w:proofErr w:type="spellStart"/>
      <w:r w:rsidRPr="00851B65">
        <w:rPr>
          <w:rFonts w:ascii="Open Sans" w:hAnsi="Open Sans" w:cs="Open Sans"/>
        </w:rPr>
        <w:t>FEnIKS</w:t>
      </w:r>
      <w:proofErr w:type="spellEnd"/>
      <w:r w:rsidRPr="00851B65">
        <w:rPr>
          <w:rFonts w:ascii="Open Sans" w:hAnsi="Open Sans" w:cs="Open Sans"/>
        </w:rPr>
        <w:t xml:space="preserve"> jako związane z realizacją tego samego przedsięwzięcia są współzależne i opisują tę samą inwestycję. W przypadku występowania konieczności aktualizacji podstawowych parametrów inwestycji na kolejnych etapach realizacji np.: kosztów, efektów, terminów czy zakresu rzeczowego, NFOŚiGW wymagać będzie każdorazowo, pod warunkiem nawet utraty dofinansowania, doprowadzania ww. umów do wewnętrznej spójności w ww. zakresie, co nie oznacza tożsamości efektów ekologicznych w umowie z NFOŚiGW i GOE ujętej w umowie EPC. Na etapie ewentualnej każdej zmiany warunków realizacji ww. Umów, NFOŚiGW zastrzega sobie prawo weryfikacji czy przedsięwzięcie nadal spełnia wymagania (kryteria) określone w naborze.</w:t>
      </w:r>
    </w:p>
    <w:p w14:paraId="65082227" w14:textId="77777777" w:rsidR="00FA6888" w:rsidRPr="00851B65" w:rsidRDefault="00FA6888" w:rsidP="00ED74F7">
      <w:pPr>
        <w:spacing w:line="288" w:lineRule="auto"/>
        <w:rPr>
          <w:rFonts w:ascii="Open Sans" w:hAnsi="Open Sans" w:cs="Open Sans"/>
        </w:rPr>
      </w:pPr>
      <w:r w:rsidRPr="00851B65">
        <w:rPr>
          <w:rFonts w:ascii="Open Sans" w:hAnsi="Open Sans" w:cs="Open Sans"/>
        </w:rPr>
        <w:t>Zawarta umowa EPC musi zostać przesłana do NFOŚiGW wraz z oświadczeniem o spełnieniu powyższych warunków, które będą obowiązywać przynajmniej do końca okresu trwałości projektu wynikającego z umowy o dofinansowanie ze środków UE dla danego przedsięwzięcia.</w:t>
      </w:r>
    </w:p>
    <w:p w14:paraId="04132A82" w14:textId="77777777" w:rsidR="00FA6888" w:rsidRPr="00851B65" w:rsidRDefault="00FA6888" w:rsidP="00ED74F7">
      <w:pPr>
        <w:spacing w:line="288" w:lineRule="auto"/>
        <w:rPr>
          <w:rFonts w:ascii="Open Sans" w:hAnsi="Open Sans" w:cs="Open Sans"/>
        </w:rPr>
      </w:pPr>
      <w:r w:rsidRPr="00851B65">
        <w:rPr>
          <w:rFonts w:ascii="Open Sans" w:hAnsi="Open Sans" w:cs="Open Sans"/>
        </w:rPr>
        <w:t xml:space="preserve">Umowa EPC powinna automatycznie i każdorazowo uwzględniać wydłużenie okresu minimalnego zarządzania energią, jeśli z dowolnych przyczyn występuje zmiana terminu zakończenia realizacji w umowie o wsparcie. Koszty związane z zarządzaniem energią i utrzymaniem technicznym przez firmę ESCO na etapie zarządzania energią, nie są </w:t>
      </w:r>
      <w:r w:rsidRPr="00851B65">
        <w:rPr>
          <w:rFonts w:ascii="Open Sans" w:hAnsi="Open Sans" w:cs="Open Sans"/>
        </w:rPr>
        <w:lastRenderedPageBreak/>
        <w:t>kosztami kwalifikowanymi a w zakres usług mogą wchodzić nie tylko zarządzanie energią, ale też konserwacja i naprawa urządzeń itp.</w:t>
      </w:r>
    </w:p>
    <w:p w14:paraId="6E5265C3" w14:textId="77777777" w:rsidR="00FA6888" w:rsidRPr="00851B65" w:rsidRDefault="00FA6888" w:rsidP="00ED74F7">
      <w:pPr>
        <w:spacing w:line="288" w:lineRule="auto"/>
        <w:rPr>
          <w:rFonts w:ascii="Open Sans" w:hAnsi="Open Sans" w:cs="Open Sans"/>
        </w:rPr>
      </w:pPr>
      <w:r w:rsidRPr="00851B65">
        <w:rPr>
          <w:rFonts w:ascii="Open Sans" w:hAnsi="Open Sans" w:cs="Open Sans"/>
          <w:b/>
          <w:bCs/>
        </w:rPr>
        <w:t>Rozliczenie uzyskanego dofinansowania przedsięwzięcia realizowanego w formule ESCO/EPC z NFOŚiGW</w:t>
      </w:r>
      <w:r w:rsidRPr="00851B65">
        <w:rPr>
          <w:rFonts w:ascii="Open Sans" w:hAnsi="Open Sans" w:cs="Open Sans"/>
        </w:rPr>
        <w:t>.</w:t>
      </w:r>
    </w:p>
    <w:p w14:paraId="6A16CDF1" w14:textId="77777777" w:rsidR="00FA6888" w:rsidRPr="00851B65" w:rsidRDefault="00FA6888" w:rsidP="00ED74F7">
      <w:pPr>
        <w:spacing w:line="288" w:lineRule="auto"/>
        <w:rPr>
          <w:rFonts w:ascii="Open Sans" w:hAnsi="Open Sans" w:cs="Open Sans"/>
        </w:rPr>
      </w:pPr>
      <w:r w:rsidRPr="00851B65">
        <w:rPr>
          <w:rFonts w:ascii="Open Sans" w:hAnsi="Open Sans" w:cs="Open Sans"/>
        </w:rPr>
        <w:t>Rozliczenie dofinansowania z NFOŚiGW realizowane byłoby po zakończeniu inwestycji na podstawie wymaganych dokumentów określonych w umowie o wsparcie, w tym: protokołów końcowych prac, powykonawczego audytu ex-post i wykonanego SCHE (Świadectwo Charakterystyki Energetycznej wykonanego zgodnie z aktualnym na czas jego wykonywania rozporządzeniem w sprawie metodologii wyznaczania charakterystyki energetycznej budynku lub części budynku oraz świadectw charakterystyki energetycznej) potwierdzającego realizację inwestycji zgodnie z Umową o dofinansowanie z NFOŚiGW. Weryfikacja SCHE odbywa się w zakresie: osiągnięcia standardu po modernizacji, wyrażonego poprzez wskaźnik zapotrzebowanie budynku na energię końcową, który powinien być nie gorszy, niż określono w audycie ex-post, potwierdzającym osiągnięcie wskaźników z umowy o wsparcie.</w:t>
      </w:r>
    </w:p>
    <w:p w14:paraId="07E78A2B" w14:textId="77777777" w:rsidR="00FA6888" w:rsidRPr="00851B65" w:rsidRDefault="00FA6888" w:rsidP="00ED74F7">
      <w:pPr>
        <w:spacing w:line="288" w:lineRule="auto"/>
        <w:rPr>
          <w:rFonts w:ascii="Open Sans" w:hAnsi="Open Sans" w:cs="Open Sans"/>
        </w:rPr>
      </w:pPr>
      <w:r w:rsidRPr="00851B65">
        <w:rPr>
          <w:rFonts w:ascii="Open Sans" w:hAnsi="Open Sans" w:cs="Open Sans"/>
        </w:rPr>
        <w:t>Pozostałe parametry określone w SCHE powykonawczym uznaje się, że mogą (ze względu na ewentualne różnice metodologiczne, aktualizacje założeń i czas wykonania dokumentu) odbiegać od parametrów określonych w audycie ex-post (który co do zasady odnosi się do metodologii użytej w audycie ex-ante).</w:t>
      </w:r>
    </w:p>
    <w:p w14:paraId="58AC5183" w14:textId="77777777" w:rsidR="00FA6888" w:rsidRDefault="00FA6888" w:rsidP="00ED74F7">
      <w:pPr>
        <w:spacing w:line="288" w:lineRule="auto"/>
        <w:rPr>
          <w:rFonts w:ascii="Open Sans" w:hAnsi="Open Sans" w:cs="Open Sans"/>
        </w:rPr>
      </w:pPr>
      <w:r w:rsidRPr="00851B65">
        <w:rPr>
          <w:rFonts w:ascii="Open Sans" w:hAnsi="Open Sans" w:cs="Open Sans"/>
        </w:rPr>
        <w:t>Dodatkowo na mocy zapisów w umowie o poprawę efektywności energetycznej (Umowa EPC) lub dodatkowej umowie, pomiędzy Beneficjentem a firmą ESCO, wprowadzone byłoby obligatoryjne zobowiązanie zarządzania energią przez firmę ESCO w budynkach</w:t>
      </w:r>
      <w:r w:rsidRPr="00851B65">
        <w:t xml:space="preserve"> </w:t>
      </w:r>
      <w:r w:rsidRPr="00851B65">
        <w:rPr>
          <w:rFonts w:ascii="Open Sans" w:hAnsi="Open Sans" w:cs="Open Sans"/>
        </w:rPr>
        <w:t>z uwzględnieniem minimalnego okresu zarządzania energią, co pozwalałoby zapewnić coroczne osiąganie Gwarantowanej Oszczędności Energii (GOE). Osiągnięcie gwarantowanej oszczędności energii przedsiębiorstwo ESCO rozlicza przed Beneficjentem po pierwszym i kolejnym roku zarządzania energią z zachowaniem zasad określonych i ustalonych w umowie pomiędzy Beneficjentem a przedsiębiorstwem ESCO na podstawie raportu.</w:t>
      </w:r>
    </w:p>
    <w:sectPr w:rsidR="00FA688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ECF1B" w14:textId="77777777" w:rsidR="00C44A16" w:rsidRDefault="00C44A16" w:rsidP="006E237B">
      <w:pPr>
        <w:spacing w:after="0" w:line="240" w:lineRule="auto"/>
      </w:pPr>
      <w:r>
        <w:separator/>
      </w:r>
    </w:p>
  </w:endnote>
  <w:endnote w:type="continuationSeparator" w:id="0">
    <w:p w14:paraId="390F371D" w14:textId="77777777" w:rsidR="00C44A16" w:rsidRDefault="00C44A16" w:rsidP="006E2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498D5" w14:textId="138EE57C" w:rsidR="004072B1" w:rsidRDefault="00B7277F" w:rsidP="00A45322">
    <w:pPr>
      <w:pStyle w:val="Stopka"/>
      <w:jc w:val="right"/>
    </w:pPr>
    <w:r w:rsidRPr="00B7277F">
      <w:rPr>
        <w:i/>
        <w:iCs/>
      </w:rPr>
      <w:t>Wersja</w:t>
    </w:r>
    <w:r>
      <w:rPr>
        <w:i/>
        <w:iCs/>
      </w:rPr>
      <w:t>:</w:t>
    </w:r>
    <w:r w:rsidRPr="00B7277F">
      <w:rPr>
        <w:i/>
        <w:iCs/>
      </w:rPr>
      <w:t xml:space="preserve"> 1.0</w:t>
    </w:r>
    <w:r w:rsidR="004072B1">
      <w:rPr>
        <w:i/>
        <w:iCs/>
      </w:rPr>
      <w:t>2</w:t>
    </w:r>
    <w:r w:rsidRPr="00B7277F">
      <w:rPr>
        <w:i/>
        <w:iCs/>
      </w:rPr>
      <w:t xml:space="preserve"> </w:t>
    </w:r>
    <w:r>
      <w:rPr>
        <w:i/>
        <w:iCs/>
      </w:rPr>
      <w:t>(</w:t>
    </w:r>
    <w:r w:rsidR="009C30C9">
      <w:rPr>
        <w:i/>
        <w:iCs/>
      </w:rPr>
      <w:t xml:space="preserve">czerwiec </w:t>
    </w:r>
    <w:r w:rsidRPr="00B7277F">
      <w:rPr>
        <w:i/>
        <w:iCs/>
      </w:rPr>
      <w:t>202</w:t>
    </w:r>
    <w:r w:rsidR="004072B1">
      <w:rPr>
        <w:i/>
        <w:iCs/>
      </w:rPr>
      <w:t>5</w:t>
    </w:r>
    <w:r w:rsidRPr="00B7277F">
      <w:rPr>
        <w:i/>
        <w:iCs/>
      </w:rPr>
      <w:t xml:space="preserve"> r.</w:t>
    </w:r>
    <w:r>
      <w:t xml:space="preserve"> ) </w:t>
    </w:r>
  </w:p>
  <w:p w14:paraId="2BD4F6FB" w14:textId="03F8F5A6" w:rsidR="00A45322" w:rsidRDefault="00A45322" w:rsidP="00A45322">
    <w:pPr>
      <w:pStyle w:val="Stopka"/>
      <w:jc w:val="right"/>
    </w:pPr>
    <w:r>
      <w:t>__________________________________________________________________________________</w:t>
    </w:r>
  </w:p>
  <w:sdt>
    <w:sdtPr>
      <w:id w:val="315388718"/>
      <w:docPartObj>
        <w:docPartGallery w:val="Page Numbers (Bottom of Page)"/>
        <w:docPartUnique/>
      </w:docPartObj>
    </w:sdtPr>
    <w:sdtContent>
      <w:sdt>
        <w:sdtPr>
          <w:id w:val="-1769616900"/>
          <w:docPartObj>
            <w:docPartGallery w:val="Page Numbers (Top of Page)"/>
            <w:docPartUnique/>
          </w:docPartObj>
        </w:sdtPr>
        <w:sdtContent>
          <w:p w14:paraId="00A15204" w14:textId="13BB06DE" w:rsidR="00A45322" w:rsidRDefault="00A4532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A318B">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A318B">
              <w:rPr>
                <w:b/>
                <w:bCs/>
                <w:noProof/>
              </w:rPr>
              <w:t>25</w:t>
            </w:r>
            <w:r>
              <w:rPr>
                <w:b/>
                <w:bCs/>
                <w:sz w:val="24"/>
                <w:szCs w:val="24"/>
              </w:rPr>
              <w:fldChar w:fldCharType="end"/>
            </w:r>
          </w:p>
        </w:sdtContent>
      </w:sdt>
    </w:sdtContent>
  </w:sdt>
  <w:p w14:paraId="0809E902" w14:textId="77777777" w:rsidR="00A45322" w:rsidRDefault="00A453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CEEB7" w14:textId="77777777" w:rsidR="00C44A16" w:rsidRDefault="00C44A16" w:rsidP="006E237B">
      <w:pPr>
        <w:spacing w:after="0" w:line="240" w:lineRule="auto"/>
      </w:pPr>
      <w:r>
        <w:separator/>
      </w:r>
    </w:p>
  </w:footnote>
  <w:footnote w:type="continuationSeparator" w:id="0">
    <w:p w14:paraId="0201D97F" w14:textId="77777777" w:rsidR="00C44A16" w:rsidRDefault="00C44A16" w:rsidP="006E237B">
      <w:pPr>
        <w:spacing w:after="0" w:line="240" w:lineRule="auto"/>
      </w:pPr>
      <w:r>
        <w:continuationSeparator/>
      </w:r>
    </w:p>
  </w:footnote>
  <w:footnote w:id="1">
    <w:p w14:paraId="437CCA37" w14:textId="314F9CCD" w:rsidR="00F02034" w:rsidRDefault="00F02034" w:rsidP="00DC06B4">
      <w:pPr>
        <w:pStyle w:val="Tekstprzypisudolnego"/>
        <w:spacing w:line="288" w:lineRule="auto"/>
      </w:pPr>
      <w:r>
        <w:rPr>
          <w:rStyle w:val="Odwoanieprzypisudolnego"/>
        </w:rPr>
        <w:footnoteRef/>
      </w:r>
      <w:r>
        <w:t xml:space="preserve"> </w:t>
      </w:r>
      <w:bookmarkStart w:id="0" w:name="_Hlk200639786"/>
      <w:r w:rsidRPr="00F02034">
        <w:t>Rozporządzenie Parlamentu Europejskiego i Rady (UE) 2024/3236 z dnia 19 grudnia 2024 r. dotyczące zmiany rozporządzenia (UE) 2021/1057 i (UE) 2021/1058 w odniesieniu do regionalnego wsparcia na rzecz odbudowy w sytuacjach nadzwyczajnych (RESTORE)</w:t>
      </w:r>
      <w:bookmarkEnd w:id="0"/>
    </w:p>
  </w:footnote>
  <w:footnote w:id="2">
    <w:p w14:paraId="0A48DC49" w14:textId="2D10000D" w:rsidR="00C30B04" w:rsidRPr="00C251E7" w:rsidRDefault="00C30B04" w:rsidP="009B2000">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3">
    <w:p w14:paraId="3C70326B" w14:textId="71951D6C" w:rsidR="00C30B04" w:rsidRPr="00C251E7" w:rsidRDefault="00C30B04" w:rsidP="00DC06B4">
      <w:pPr>
        <w:pStyle w:val="Tekstprzypisudolnego"/>
        <w:spacing w:line="288" w:lineRule="auto"/>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4">
    <w:p w14:paraId="7D056359" w14:textId="2F5BC97A" w:rsidR="00C30B04" w:rsidRPr="00C251E7" w:rsidRDefault="00C30B04" w:rsidP="00DC06B4">
      <w:pPr>
        <w:pStyle w:val="Tekstprzypisudolnego"/>
        <w:spacing w:line="288" w:lineRule="auto"/>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7D5359">
        <w:rPr>
          <w:rFonts w:ascii="Open Sans" w:hAnsi="Open Sans" w:cs="Open Sans"/>
          <w:sz w:val="18"/>
          <w:szCs w:val="18"/>
        </w:rPr>
        <w:t xml:space="preserve"> wraz z późniejszymi zmianami</w:t>
      </w:r>
    </w:p>
  </w:footnote>
  <w:footnote w:id="5">
    <w:p w14:paraId="6F2340DA" w14:textId="1C624DF8" w:rsidR="009C30C9" w:rsidRDefault="009C30C9" w:rsidP="009C30C9">
      <w:pPr>
        <w:pStyle w:val="Tekstprzypisudolnego"/>
      </w:pPr>
      <w:r>
        <w:rPr>
          <w:rStyle w:val="Odwoanieprzypisudolnego"/>
        </w:rPr>
        <w:footnoteRef/>
      </w:r>
      <w:r>
        <w:t>DYREKTYWA PARLAMENTU EUROPEJSKIEGO I RADY (UE) 2024/1275 z dnia 24 kwietnia 2024 r. w sprawie charakterystyki energetycznej budynków</w:t>
      </w:r>
    </w:p>
  </w:footnote>
  <w:footnote w:id="6">
    <w:p w14:paraId="5039BB74" w14:textId="600664C1" w:rsidR="006738FA" w:rsidRDefault="006738FA">
      <w:pPr>
        <w:pStyle w:val="Tekstprzypisudolnego"/>
      </w:pPr>
      <w:r>
        <w:rPr>
          <w:rStyle w:val="Odwoanieprzypisudolnego"/>
        </w:rPr>
        <w:footnoteRef/>
      </w:r>
      <w:r>
        <w:t xml:space="preserve"> </w:t>
      </w:r>
      <w:r w:rsidRPr="006738FA">
        <w:t xml:space="preserve">Za system grzewczy oparty na gazie nie uznajemy rozwiązań hybrydowych - czyli pomp ciepła zasilanych gazem ziemnym, zgodnych z załącznikiem VII do dyrektywy Parlamentu Europejskiego i Rady (UE) 2018/2001 z dnia </w:t>
      </w:r>
      <w:r w:rsidRPr="006738FA">
        <w:br/>
        <w:t>11 grudnia 2018 r. w sprawie promowania stosowania energii ze źródeł odnawialnych) z magazynami energii. Niemniej jednak koszty przyłączeń do sieci gazowej nie będą kwalifikowane.</w:t>
      </w:r>
    </w:p>
  </w:footnote>
  <w:footnote w:id="7">
    <w:p w14:paraId="6BA8D991" w14:textId="2B6B33B6" w:rsidR="00814206" w:rsidRPr="00C251E7" w:rsidRDefault="00814206"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Wykonawca instalacji źródła ciepła opalanego biomasą, pompy ciepła lub kolektorów słonecznych oraz urządzeń OZE do produkcji energii elektrycznej, powinien posiadać ważny odpowiedni certyfikat instalatora wystawiony przez właściwą akredytowaną jednostkę certyfikującą;</w:t>
      </w:r>
    </w:p>
  </w:footnote>
  <w:footnote w:id="8">
    <w:p w14:paraId="634CE930" w14:textId="48D96B93" w:rsidR="00814206" w:rsidRPr="00C251E7" w:rsidRDefault="00814206"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Kolektory słoneczne powinny posiadać certyfikat zgodności z normą PN-EN 12975-1 wraz ze sprawozdaniem z badań zgodnie z normą PN-EN 12975-2 lub PN-EN ISO 9806 lub posiadają znak jakości "Solar </w:t>
      </w:r>
      <w:proofErr w:type="spellStart"/>
      <w:r w:rsidRPr="00C251E7">
        <w:rPr>
          <w:rFonts w:ascii="Open Sans" w:hAnsi="Open Sans" w:cs="Open Sans"/>
          <w:sz w:val="18"/>
          <w:szCs w:val="18"/>
        </w:rPr>
        <w:t>Keymark</w:t>
      </w:r>
      <w:proofErr w:type="spellEnd"/>
      <w:r w:rsidRPr="00C251E7">
        <w:rPr>
          <w:rFonts w:ascii="Open Sans" w:hAnsi="Open Sans" w:cs="Open Sans"/>
          <w:sz w:val="18"/>
          <w:szCs w:val="18"/>
        </w:rPr>
        <w:t>". Certyfikaty zostały nadane przez akredytowaną jednostkę certyfikującą, a ich data nie jest wcześniejsza niż 5 lat licząc od daty złożenia wniosku o dofinansowanie</w:t>
      </w:r>
    </w:p>
  </w:footnote>
  <w:footnote w:id="9">
    <w:p w14:paraId="4C9941B5" w14:textId="77777777" w:rsidR="00814206" w:rsidRPr="00C251E7" w:rsidRDefault="00814206"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Pompa ciepła powinna posiadać certyfikat lub raport z badań, potwierdzający wartość współczynnika COP, wydany przez właściwą akredytowaną jednostkę certyfikującą lub właściwe akredytowane laboratorium badawcze, nie wcześniej niż 5 lat licząc od daty złożenia wniosku o dofinansowanie; Współczynnik efektywności COP zastosowanych pomp ciepła, określony według normy PN-EN 14511-3 lub PN-EN 16147 nie jest niższy niż wskazano w Decyzji Komisji z dnia 1 marca 2013 r.  ustanawiającej wytyczne dla państw członkowskich dotyczące obliczania energii odnawialnej z pomp ciepła w odniesieniu do różnych technologii pomp ciepła na podstawie art. 5 dyrektywy Parlamentu Europejskiego i Rady 2009/28/WE Sezonowy wskaźnik efektywności energetycznej instalacji SCOP, liczony zgodnie z normą PN-EN 14825 lub PN-EN 12309-2 powinien wynosić:  </w:t>
      </w:r>
    </w:p>
    <w:p w14:paraId="2E7AA0EF" w14:textId="5835CE40" w:rsidR="00814206" w:rsidRPr="00C251E7" w:rsidRDefault="00814206" w:rsidP="00DC06B4">
      <w:pPr>
        <w:pStyle w:val="Tekstprzypisudolnego"/>
        <w:spacing w:line="288" w:lineRule="auto"/>
        <w:rPr>
          <w:rFonts w:ascii="Open Sans" w:hAnsi="Open Sans" w:cs="Open Sans"/>
          <w:sz w:val="18"/>
          <w:szCs w:val="18"/>
        </w:rPr>
      </w:pPr>
      <w:r w:rsidRPr="00C251E7">
        <w:rPr>
          <w:rFonts w:ascii="Open Sans" w:hAnsi="Open Sans" w:cs="Open Sans"/>
          <w:sz w:val="18"/>
          <w:szCs w:val="18"/>
        </w:rPr>
        <w:t xml:space="preserve">− dla pomp ciepła typu powietrze/woda dla potrzeb c.o. i c.w.u., zasilanych energią elektryczną: SCOP≥3.3,  </w:t>
      </w:r>
    </w:p>
    <w:p w14:paraId="0AA4288E" w14:textId="23364704" w:rsidR="00814206" w:rsidRPr="00C251E7" w:rsidRDefault="00814206" w:rsidP="00DC06B4">
      <w:pPr>
        <w:pStyle w:val="Tekstprzypisudolnego"/>
        <w:spacing w:line="288" w:lineRule="auto"/>
        <w:rPr>
          <w:rFonts w:ascii="Open Sans" w:hAnsi="Open Sans" w:cs="Open Sans"/>
          <w:sz w:val="18"/>
          <w:szCs w:val="18"/>
        </w:rPr>
      </w:pPr>
      <w:r w:rsidRPr="00C251E7">
        <w:rPr>
          <w:rFonts w:ascii="Open Sans" w:hAnsi="Open Sans" w:cs="Open Sans"/>
          <w:sz w:val="18"/>
          <w:szCs w:val="18"/>
        </w:rPr>
        <w:t xml:space="preserve">− dla pozostałych pomp ciepła dla potrzeb c.o. i c.w.u., zasilanych energią elektryczną: SCOP≥3.8, </w:t>
      </w:r>
    </w:p>
    <w:p w14:paraId="63184254" w14:textId="744F2F27" w:rsidR="00814206" w:rsidRDefault="00814206" w:rsidP="00DC06B4">
      <w:pPr>
        <w:pStyle w:val="Tekstprzypisudolnego"/>
        <w:spacing w:line="288" w:lineRule="auto"/>
      </w:pPr>
      <w:r w:rsidRPr="00C251E7">
        <w:rPr>
          <w:rFonts w:ascii="Open Sans" w:hAnsi="Open Sans" w:cs="Open Sans"/>
          <w:sz w:val="18"/>
          <w:szCs w:val="18"/>
        </w:rPr>
        <w:t>− dla pomp ciepła zasilanych ciepłem: SCOP≥1.25</w:t>
      </w:r>
    </w:p>
  </w:footnote>
  <w:footnote w:id="10">
    <w:p w14:paraId="29F1F0F2" w14:textId="38EFF1CD" w:rsidR="00814206" w:rsidRDefault="00814206" w:rsidP="00DC06B4">
      <w:pPr>
        <w:pStyle w:val="Tekstprzypisudolnego"/>
        <w:spacing w:line="288" w:lineRule="auto"/>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 instalacjach wentylacji mechanicznej ogólnej </w:t>
      </w:r>
      <w:proofErr w:type="spellStart"/>
      <w:r w:rsidRPr="00C251E7">
        <w:rPr>
          <w:rFonts w:ascii="Open Sans" w:hAnsi="Open Sans" w:cs="Open Sans"/>
          <w:sz w:val="18"/>
          <w:szCs w:val="18"/>
        </w:rPr>
        <w:t>nawiewno</w:t>
      </w:r>
      <w:proofErr w:type="spellEnd"/>
      <w:r w:rsidRPr="00C251E7">
        <w:rPr>
          <w:rFonts w:ascii="Open Sans" w:hAnsi="Open Sans" w:cs="Open Sans"/>
          <w:sz w:val="18"/>
          <w:szCs w:val="18"/>
        </w:rPr>
        <w:t>-wywiewnej lub klimatyzacji komfortowej o wydajności 500 m3/h i więcej należy stosować urządzenia do odzyskiwania ciepła z powietrza wywiewanego o sprawności temperaturowej co najmniej 50% lub recyrkulację, gdy jest to dopuszczalne. (Obwieszczenie</w:t>
      </w:r>
      <w:r w:rsidR="007D5359">
        <w:rPr>
          <w:rFonts w:ascii="Open Sans" w:hAnsi="Open Sans" w:cs="Open Sans"/>
          <w:sz w:val="18"/>
          <w:szCs w:val="18"/>
        </w:rPr>
        <w:t xml:space="preserve"> </w:t>
      </w:r>
      <w:r w:rsidRPr="00C251E7">
        <w:rPr>
          <w:rFonts w:ascii="Open Sans" w:hAnsi="Open Sans" w:cs="Open Sans"/>
          <w:sz w:val="18"/>
          <w:szCs w:val="18"/>
        </w:rPr>
        <w:t>Ministra Rozwoju i Technologii z dnia 15 kwietnia 2022 r. w sprawie ogłoszenia jednolitego tekstu rozporządzenia Ministra Infrastruktury w sprawie warunków technicznych, jakim powinny odpowiadać budynki i ich usytuowanie (Dz.U. z dnia 9 czerwca 2022 r., poz.1225 - § 151. 1 Rozporządzenia).</w:t>
      </w:r>
    </w:p>
  </w:footnote>
  <w:footnote w:id="11">
    <w:p w14:paraId="5D4D2836" w14:textId="0D996B2C" w:rsidR="00814206" w:rsidRPr="00C251E7" w:rsidRDefault="00814206"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będącego członkiem ogólnokrajowego stowarzyszenia przyrodniczego; prace z zakresu termomodernizacji obiektów budowlanych muszą być prowadzone zgodnie z ustawą z dnia 16 kwietnia 2004 r. o ochronie przyrody (Dz. U. z 2013 r., poz. 627 z </w:t>
      </w:r>
      <w:proofErr w:type="spellStart"/>
      <w:r w:rsidRPr="00C251E7">
        <w:rPr>
          <w:rFonts w:ascii="Open Sans" w:hAnsi="Open Sans" w:cs="Open Sans"/>
          <w:sz w:val="18"/>
          <w:szCs w:val="18"/>
        </w:rPr>
        <w:t>późn</w:t>
      </w:r>
      <w:proofErr w:type="spellEnd"/>
      <w:r w:rsidRPr="00C251E7">
        <w:rPr>
          <w:rFonts w:ascii="Open Sans" w:hAnsi="Open Sans" w:cs="Open Sans"/>
          <w:sz w:val="18"/>
          <w:szCs w:val="18"/>
        </w:rPr>
        <w:t>. zm.) oraz Rozporządzeniem Ministra Środowiska z dnia 6 października 2014 r. w sprawie ochrony gatunkowej zwierząt (Dz. U. z 2014 r., poz. 1348); prace należy wykonywać w szczególności z uwzględnieniem potrzeb i biologii ptaków i nietoperzy.</w:t>
      </w:r>
    </w:p>
  </w:footnote>
  <w:footnote w:id="12">
    <w:p w14:paraId="5B96559F" w14:textId="77A5F56F" w:rsidR="00EA2EA1" w:rsidRPr="00C251E7" w:rsidRDefault="00EA2EA1"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r w:rsidR="00DC0E18">
        <w:rPr>
          <w:rFonts w:ascii="Open Sans" w:hAnsi="Open Sans" w:cs="Open Sans"/>
          <w:sz w:val="18"/>
          <w:szCs w:val="18"/>
        </w:rPr>
        <w:t xml:space="preserve"> wraz z późniejszymi zmianami</w:t>
      </w:r>
    </w:p>
  </w:footnote>
  <w:footnote w:id="13">
    <w:p w14:paraId="0507400D" w14:textId="7059C812" w:rsidR="00EA2EA1" w:rsidRPr="00C251E7" w:rsidRDefault="00EA2EA1" w:rsidP="00DC06B4">
      <w:pPr>
        <w:pStyle w:val="Tekstprzypisudolnego"/>
        <w:spacing w:line="288" w:lineRule="aut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RDOŚ wydaje zgodę i określa sposób i zakres kompensacji przyrodniczej, pozwalającej na zamknięcie otworów i szczelin poza sezonem rozrodczym ptaków i nietoperzy i poza okresem hibernacji nietoperzy przed podjęciem zasadniczych prac inwestycyjnych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2834" w14:textId="165DB084" w:rsidR="006E237B" w:rsidRDefault="006E237B">
    <w:pPr>
      <w:pStyle w:val="Nagwek"/>
    </w:pPr>
    <w:r>
      <w:rPr>
        <w:noProof/>
        <w:lang w:eastAsia="pl-PL"/>
      </w:rPr>
      <w:drawing>
        <wp:inline distT="0" distB="0" distL="0" distR="0" wp14:anchorId="234962AA" wp14:editId="7CF213EA">
          <wp:extent cx="5760720" cy="601345"/>
          <wp:effectExtent l="0" t="0" r="0" b="0"/>
          <wp:docPr id="705616118" name="Obraz 2" descr="Ciąg znaków FENIKS, RP, UE i NFOŚiGW">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Obraz 2" descr="Ciąg znaków FENIKS, RP, UE i NFOŚiGW">
                    <a:extLst>
                      <a:ext uri="{FF2B5EF4-FFF2-40B4-BE49-F238E27FC236}">
                        <a16:creationId xmlns:a16="http://schemas.microsoft.com/office/drawing/2014/main" id="{00000000-0008-0000-0000-000003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pic:spPr>
              </pic:pic>
            </a:graphicData>
          </a:graphic>
        </wp:inline>
      </w:drawing>
    </w:r>
  </w:p>
  <w:p w14:paraId="49FDD118" w14:textId="21B81A4D" w:rsidR="006E237B" w:rsidRDefault="006E237B" w:rsidP="006E237B">
    <w:pPr>
      <w:pStyle w:val="Nagwek"/>
      <w:jc w:val="center"/>
    </w:pPr>
    <w:r>
      <w:t>Ramowy Katalog Kosztów/Wydatków Kwalifikowanych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C556E"/>
    <w:multiLevelType w:val="hybridMultilevel"/>
    <w:tmpl w:val="BD46BB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11011"/>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 w15:restartNumberingAfterBreak="0">
    <w:nsid w:val="115060D3"/>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 w15:restartNumberingAfterBreak="0">
    <w:nsid w:val="13B00C7C"/>
    <w:multiLevelType w:val="multilevel"/>
    <w:tmpl w:val="8536C99A"/>
    <w:lvl w:ilvl="0">
      <w:start w:val="1"/>
      <w:numFmt w:val="upperRoman"/>
      <w:lvlText w:val="%1."/>
      <w:lvlJc w:val="right"/>
      <w:pPr>
        <w:ind w:left="360" w:hanging="360"/>
      </w:pPr>
      <w:rPr>
        <w:rFonts w:hint="default"/>
        <w:b/>
      </w:rPr>
    </w:lvl>
    <w:lvl w:ilvl="1">
      <w:start w:val="3"/>
      <w:numFmt w:val="decimal"/>
      <w:lvlText w:val="%2."/>
      <w:lvlJc w:val="left"/>
      <w:pPr>
        <w:ind w:left="1506" w:hanging="360"/>
      </w:pPr>
      <w:rPr>
        <w:rFonts w:hint="default"/>
        <w:b/>
        <w:bCs/>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16C710C3"/>
    <w:multiLevelType w:val="hybridMultilevel"/>
    <w:tmpl w:val="BB80D798"/>
    <w:lvl w:ilvl="0" w:tplc="E81AD71A">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DE93BBB"/>
    <w:multiLevelType w:val="hybridMultilevel"/>
    <w:tmpl w:val="1BCCB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2B0100"/>
    <w:multiLevelType w:val="hybridMultilevel"/>
    <w:tmpl w:val="1D6C1F0A"/>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5268DA"/>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8" w15:restartNumberingAfterBreak="0">
    <w:nsid w:val="22886EDB"/>
    <w:multiLevelType w:val="hybridMultilevel"/>
    <w:tmpl w:val="3C92377C"/>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02AEA"/>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0" w15:restartNumberingAfterBreak="0">
    <w:nsid w:val="24B56048"/>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1" w15:restartNumberingAfterBreak="0">
    <w:nsid w:val="294450EC"/>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15:restartNumberingAfterBreak="0">
    <w:nsid w:val="295E291B"/>
    <w:multiLevelType w:val="hybridMultilevel"/>
    <w:tmpl w:val="C9B25D66"/>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7C19EF"/>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502" w:hanging="360"/>
      </w:pPr>
      <w:rPr>
        <w:rFonts w:hint="default"/>
        <w:b/>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4" w15:restartNumberingAfterBreak="0">
    <w:nsid w:val="2C295DB0"/>
    <w:multiLevelType w:val="hybridMultilevel"/>
    <w:tmpl w:val="F9586DFA"/>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EC4F3E"/>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502" w:hanging="360"/>
      </w:pPr>
      <w:rPr>
        <w:rFonts w:hint="default"/>
        <w:b/>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6" w15:restartNumberingAfterBreak="0">
    <w:nsid w:val="3619202F"/>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 w15:restartNumberingAfterBreak="0">
    <w:nsid w:val="38DC1E5A"/>
    <w:multiLevelType w:val="multilevel"/>
    <w:tmpl w:val="65E8DC18"/>
    <w:lvl w:ilvl="0">
      <w:start w:val="1"/>
      <w:numFmt w:val="upperRoman"/>
      <w:lvlText w:val="%1."/>
      <w:lvlJc w:val="right"/>
      <w:pPr>
        <w:ind w:left="360" w:hanging="360"/>
      </w:pPr>
      <w:rPr>
        <w:rFonts w:hint="default"/>
        <w:b/>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8" w15:restartNumberingAfterBreak="0">
    <w:nsid w:val="3B38098D"/>
    <w:multiLevelType w:val="hybridMultilevel"/>
    <w:tmpl w:val="4F8C1E5C"/>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291F72"/>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 w15:restartNumberingAfterBreak="0">
    <w:nsid w:val="416037DF"/>
    <w:multiLevelType w:val="hybridMultilevel"/>
    <w:tmpl w:val="499A08F0"/>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917203"/>
    <w:multiLevelType w:val="hybridMultilevel"/>
    <w:tmpl w:val="69E4B15E"/>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4A1E81"/>
    <w:multiLevelType w:val="hybridMultilevel"/>
    <w:tmpl w:val="CDF021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8E693D"/>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4" w15:restartNumberingAfterBreak="0">
    <w:nsid w:val="4B1A6458"/>
    <w:multiLevelType w:val="hybridMultilevel"/>
    <w:tmpl w:val="AFB2E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806844"/>
    <w:multiLevelType w:val="hybridMultilevel"/>
    <w:tmpl w:val="AE404454"/>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7B7342"/>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7" w15:restartNumberingAfterBreak="0">
    <w:nsid w:val="51057711"/>
    <w:multiLevelType w:val="hybridMultilevel"/>
    <w:tmpl w:val="2D7EB7B8"/>
    <w:lvl w:ilvl="0" w:tplc="E81AD71A">
      <w:start w:val="1"/>
      <w:numFmt w:val="upperRoman"/>
      <w:lvlText w:val="%1."/>
      <w:lvlJc w:val="left"/>
      <w:pPr>
        <w:ind w:left="142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560A27"/>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9" w15:restartNumberingAfterBreak="0">
    <w:nsid w:val="52BE78B6"/>
    <w:multiLevelType w:val="hybridMultilevel"/>
    <w:tmpl w:val="481CEFE0"/>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804B80"/>
    <w:multiLevelType w:val="hybridMultilevel"/>
    <w:tmpl w:val="7EBEDEAC"/>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0D04BA"/>
    <w:multiLevelType w:val="hybridMultilevel"/>
    <w:tmpl w:val="E8047CA4"/>
    <w:lvl w:ilvl="0" w:tplc="F18896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0F4288"/>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3" w15:restartNumberingAfterBreak="0">
    <w:nsid w:val="660E788B"/>
    <w:multiLevelType w:val="hybridMultilevel"/>
    <w:tmpl w:val="952E7044"/>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48100F"/>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5" w15:restartNumberingAfterBreak="0">
    <w:nsid w:val="6DD306D5"/>
    <w:multiLevelType w:val="hybridMultilevel"/>
    <w:tmpl w:val="9BE63A9A"/>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51313A"/>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7" w15:restartNumberingAfterBreak="0">
    <w:nsid w:val="721300A7"/>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8" w15:restartNumberingAfterBreak="0">
    <w:nsid w:val="78925CD5"/>
    <w:multiLevelType w:val="hybridMultilevel"/>
    <w:tmpl w:val="329A9AC4"/>
    <w:lvl w:ilvl="0" w:tplc="57D8589A">
      <w:start w:val="12"/>
      <w:numFmt w:val="bullet"/>
      <w:lvlText w:val="–"/>
      <w:lvlJc w:val="left"/>
      <w:pPr>
        <w:ind w:left="720" w:hanging="360"/>
      </w:pPr>
      <w:rPr>
        <w:rFonts w:ascii="Agency FB" w:hAnsi="Agency FB"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056CFB"/>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0" w15:restartNumberingAfterBreak="0">
    <w:nsid w:val="7C193131"/>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1506" w:hanging="360"/>
      </w:pPr>
      <w:rPr>
        <w:rFonts w:hint="default"/>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1" w15:restartNumberingAfterBreak="0">
    <w:nsid w:val="7F651D14"/>
    <w:multiLevelType w:val="multilevel"/>
    <w:tmpl w:val="65E8DC18"/>
    <w:lvl w:ilvl="0">
      <w:start w:val="1"/>
      <w:numFmt w:val="upperRoman"/>
      <w:lvlText w:val="%1."/>
      <w:lvlJc w:val="right"/>
      <w:pPr>
        <w:ind w:left="360" w:hanging="360"/>
      </w:pPr>
      <w:rPr>
        <w:rFonts w:hint="default"/>
      </w:rPr>
    </w:lvl>
    <w:lvl w:ilvl="1">
      <w:start w:val="1"/>
      <w:numFmt w:val="decimal"/>
      <w:lvlText w:val="%2."/>
      <w:lvlJc w:val="left"/>
      <w:pPr>
        <w:ind w:left="502" w:hanging="360"/>
      </w:pPr>
      <w:rPr>
        <w:rFonts w:hint="default"/>
        <w:b/>
      </w:rPr>
    </w:lvl>
    <w:lvl w:ilvl="2">
      <w:start w:val="1"/>
      <w:numFmt w:val="bullet"/>
      <w:lvlText w:val="–"/>
      <w:lvlJc w:val="left"/>
      <w:pPr>
        <w:ind w:left="2226" w:hanging="180"/>
      </w:pPr>
      <w:rPr>
        <w:rFonts w:ascii="Agency FB" w:hAnsi="Agency FB"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num w:numId="1" w16cid:durableId="605506475">
    <w:abstractNumId w:val="0"/>
  </w:num>
  <w:num w:numId="2" w16cid:durableId="2112823116">
    <w:abstractNumId w:val="5"/>
  </w:num>
  <w:num w:numId="3" w16cid:durableId="943195395">
    <w:abstractNumId w:val="22"/>
  </w:num>
  <w:num w:numId="4" w16cid:durableId="1689674206">
    <w:abstractNumId w:val="24"/>
  </w:num>
  <w:num w:numId="5" w16cid:durableId="1212689862">
    <w:abstractNumId w:val="13"/>
  </w:num>
  <w:num w:numId="6" w16cid:durableId="98990932">
    <w:abstractNumId w:val="12"/>
  </w:num>
  <w:num w:numId="7" w16cid:durableId="1921862943">
    <w:abstractNumId w:val="36"/>
  </w:num>
  <w:num w:numId="8" w16cid:durableId="765198735">
    <w:abstractNumId w:val="4"/>
  </w:num>
  <w:num w:numId="9" w16cid:durableId="1659456455">
    <w:abstractNumId w:val="27"/>
  </w:num>
  <w:num w:numId="10" w16cid:durableId="1366055775">
    <w:abstractNumId w:val="6"/>
  </w:num>
  <w:num w:numId="11" w16cid:durableId="514609443">
    <w:abstractNumId w:val="35"/>
  </w:num>
  <w:num w:numId="12" w16cid:durableId="699088357">
    <w:abstractNumId w:val="25"/>
  </w:num>
  <w:num w:numId="13" w16cid:durableId="2041934669">
    <w:abstractNumId w:val="14"/>
  </w:num>
  <w:num w:numId="14" w16cid:durableId="920213344">
    <w:abstractNumId w:val="21"/>
  </w:num>
  <w:num w:numId="15" w16cid:durableId="752897830">
    <w:abstractNumId w:val="8"/>
  </w:num>
  <w:num w:numId="16" w16cid:durableId="1616474585">
    <w:abstractNumId w:val="33"/>
  </w:num>
  <w:num w:numId="17" w16cid:durableId="1712414407">
    <w:abstractNumId w:val="20"/>
  </w:num>
  <w:num w:numId="18" w16cid:durableId="1702437445">
    <w:abstractNumId w:val="38"/>
  </w:num>
  <w:num w:numId="19" w16cid:durableId="569075073">
    <w:abstractNumId w:val="29"/>
  </w:num>
  <w:num w:numId="20" w16cid:durableId="1811705341">
    <w:abstractNumId w:val="30"/>
  </w:num>
  <w:num w:numId="21" w16cid:durableId="331955697">
    <w:abstractNumId w:val="17"/>
  </w:num>
  <w:num w:numId="22" w16cid:durableId="1053163605">
    <w:abstractNumId w:val="31"/>
  </w:num>
  <w:num w:numId="23" w16cid:durableId="1081828877">
    <w:abstractNumId w:val="18"/>
  </w:num>
  <w:num w:numId="24" w16cid:durableId="186717443">
    <w:abstractNumId w:val="26"/>
  </w:num>
  <w:num w:numId="25" w16cid:durableId="2039308316">
    <w:abstractNumId w:val="28"/>
  </w:num>
  <w:num w:numId="26" w16cid:durableId="130366371">
    <w:abstractNumId w:val="9"/>
  </w:num>
  <w:num w:numId="27" w16cid:durableId="671369590">
    <w:abstractNumId w:val="37"/>
  </w:num>
  <w:num w:numId="28" w16cid:durableId="1171023384">
    <w:abstractNumId w:val="34"/>
  </w:num>
  <w:num w:numId="29" w16cid:durableId="1005671043">
    <w:abstractNumId w:val="16"/>
  </w:num>
  <w:num w:numId="30" w16cid:durableId="5328263">
    <w:abstractNumId w:val="39"/>
  </w:num>
  <w:num w:numId="31" w16cid:durableId="1270356414">
    <w:abstractNumId w:val="23"/>
  </w:num>
  <w:num w:numId="32" w16cid:durableId="2069499044">
    <w:abstractNumId w:val="10"/>
  </w:num>
  <w:num w:numId="33" w16cid:durableId="546986342">
    <w:abstractNumId w:val="32"/>
  </w:num>
  <w:num w:numId="34" w16cid:durableId="1536961179">
    <w:abstractNumId w:val="19"/>
  </w:num>
  <w:num w:numId="35" w16cid:durableId="1382289565">
    <w:abstractNumId w:val="2"/>
  </w:num>
  <w:num w:numId="36" w16cid:durableId="354889557">
    <w:abstractNumId w:val="40"/>
  </w:num>
  <w:num w:numId="37" w16cid:durableId="677195496">
    <w:abstractNumId w:val="11"/>
  </w:num>
  <w:num w:numId="38" w16cid:durableId="282115">
    <w:abstractNumId w:val="1"/>
  </w:num>
  <w:num w:numId="39" w16cid:durableId="1037316890">
    <w:abstractNumId w:val="7"/>
  </w:num>
  <w:num w:numId="40" w16cid:durableId="1749644803">
    <w:abstractNumId w:val="3"/>
  </w:num>
  <w:num w:numId="41" w16cid:durableId="1095903711">
    <w:abstractNumId w:val="41"/>
  </w:num>
  <w:num w:numId="42" w16cid:durableId="6278591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D7"/>
    <w:rsid w:val="00013816"/>
    <w:rsid w:val="0003661D"/>
    <w:rsid w:val="000429D1"/>
    <w:rsid w:val="000444E1"/>
    <w:rsid w:val="00053F91"/>
    <w:rsid w:val="00061A2C"/>
    <w:rsid w:val="00072DB8"/>
    <w:rsid w:val="00091580"/>
    <w:rsid w:val="00091BA2"/>
    <w:rsid w:val="00092D15"/>
    <w:rsid w:val="00093832"/>
    <w:rsid w:val="000B5D98"/>
    <w:rsid w:val="000D0903"/>
    <w:rsid w:val="000D433F"/>
    <w:rsid w:val="000D4DA9"/>
    <w:rsid w:val="000E302C"/>
    <w:rsid w:val="000F022A"/>
    <w:rsid w:val="001055B6"/>
    <w:rsid w:val="00111CD7"/>
    <w:rsid w:val="001137B9"/>
    <w:rsid w:val="0011640F"/>
    <w:rsid w:val="00123962"/>
    <w:rsid w:val="00123BA5"/>
    <w:rsid w:val="001303D0"/>
    <w:rsid w:val="00134033"/>
    <w:rsid w:val="00150C4C"/>
    <w:rsid w:val="00152429"/>
    <w:rsid w:val="001838F9"/>
    <w:rsid w:val="00192878"/>
    <w:rsid w:val="001B5ACC"/>
    <w:rsid w:val="001C5DCC"/>
    <w:rsid w:val="001E3478"/>
    <w:rsid w:val="001F5AED"/>
    <w:rsid w:val="002002D0"/>
    <w:rsid w:val="0020536E"/>
    <w:rsid w:val="00244B71"/>
    <w:rsid w:val="002524B4"/>
    <w:rsid w:val="00254DD7"/>
    <w:rsid w:val="002624B9"/>
    <w:rsid w:val="00264AD8"/>
    <w:rsid w:val="00276096"/>
    <w:rsid w:val="002A09A5"/>
    <w:rsid w:val="002A753D"/>
    <w:rsid w:val="002F6717"/>
    <w:rsid w:val="003175E3"/>
    <w:rsid w:val="003434F1"/>
    <w:rsid w:val="00344B84"/>
    <w:rsid w:val="00347553"/>
    <w:rsid w:val="00353CE4"/>
    <w:rsid w:val="00363D32"/>
    <w:rsid w:val="00367F51"/>
    <w:rsid w:val="00386148"/>
    <w:rsid w:val="00387A7E"/>
    <w:rsid w:val="003B5450"/>
    <w:rsid w:val="003D21D1"/>
    <w:rsid w:val="00400546"/>
    <w:rsid w:val="00405759"/>
    <w:rsid w:val="004072B1"/>
    <w:rsid w:val="00453738"/>
    <w:rsid w:val="00467AA8"/>
    <w:rsid w:val="004752BD"/>
    <w:rsid w:val="00475E11"/>
    <w:rsid w:val="00503E20"/>
    <w:rsid w:val="00506244"/>
    <w:rsid w:val="00510D38"/>
    <w:rsid w:val="00570FA5"/>
    <w:rsid w:val="00591749"/>
    <w:rsid w:val="005A56F7"/>
    <w:rsid w:val="005B2DEB"/>
    <w:rsid w:val="005D035E"/>
    <w:rsid w:val="005D2BFB"/>
    <w:rsid w:val="005E00E9"/>
    <w:rsid w:val="00605E9F"/>
    <w:rsid w:val="006146BD"/>
    <w:rsid w:val="00617144"/>
    <w:rsid w:val="00620156"/>
    <w:rsid w:val="006210D4"/>
    <w:rsid w:val="006230D1"/>
    <w:rsid w:val="0064598A"/>
    <w:rsid w:val="0067036F"/>
    <w:rsid w:val="006738FA"/>
    <w:rsid w:val="00677E84"/>
    <w:rsid w:val="00680EA0"/>
    <w:rsid w:val="0068493F"/>
    <w:rsid w:val="006A5F88"/>
    <w:rsid w:val="006A638D"/>
    <w:rsid w:val="006D34F5"/>
    <w:rsid w:val="006E237B"/>
    <w:rsid w:val="006F1F0E"/>
    <w:rsid w:val="006F27AC"/>
    <w:rsid w:val="007016B4"/>
    <w:rsid w:val="00707280"/>
    <w:rsid w:val="007105E9"/>
    <w:rsid w:val="0072346E"/>
    <w:rsid w:val="00723B52"/>
    <w:rsid w:val="007257EE"/>
    <w:rsid w:val="00733151"/>
    <w:rsid w:val="0074495D"/>
    <w:rsid w:val="00751BC7"/>
    <w:rsid w:val="00784D53"/>
    <w:rsid w:val="007A02A3"/>
    <w:rsid w:val="007A45DE"/>
    <w:rsid w:val="007A70D6"/>
    <w:rsid w:val="007B04A8"/>
    <w:rsid w:val="007B5E59"/>
    <w:rsid w:val="007B7674"/>
    <w:rsid w:val="007C6D51"/>
    <w:rsid w:val="007D5359"/>
    <w:rsid w:val="007D5F42"/>
    <w:rsid w:val="007E2E52"/>
    <w:rsid w:val="008034B3"/>
    <w:rsid w:val="00814206"/>
    <w:rsid w:val="00847A72"/>
    <w:rsid w:val="00851B65"/>
    <w:rsid w:val="0085564D"/>
    <w:rsid w:val="00865421"/>
    <w:rsid w:val="00866C86"/>
    <w:rsid w:val="0087632A"/>
    <w:rsid w:val="0088145C"/>
    <w:rsid w:val="0088432C"/>
    <w:rsid w:val="008A1486"/>
    <w:rsid w:val="008C2D05"/>
    <w:rsid w:val="008C4213"/>
    <w:rsid w:val="0093489B"/>
    <w:rsid w:val="00944D22"/>
    <w:rsid w:val="00960390"/>
    <w:rsid w:val="00997DEC"/>
    <w:rsid w:val="009A1B9E"/>
    <w:rsid w:val="009A7FF7"/>
    <w:rsid w:val="009B2000"/>
    <w:rsid w:val="009B62B6"/>
    <w:rsid w:val="009C13E5"/>
    <w:rsid w:val="009C30C9"/>
    <w:rsid w:val="009C3C8F"/>
    <w:rsid w:val="00A14355"/>
    <w:rsid w:val="00A45322"/>
    <w:rsid w:val="00A459E1"/>
    <w:rsid w:val="00A67574"/>
    <w:rsid w:val="00A8261A"/>
    <w:rsid w:val="00A8734B"/>
    <w:rsid w:val="00AA318B"/>
    <w:rsid w:val="00AA47FA"/>
    <w:rsid w:val="00AB1EBA"/>
    <w:rsid w:val="00AD2D92"/>
    <w:rsid w:val="00AD4709"/>
    <w:rsid w:val="00AE5AFD"/>
    <w:rsid w:val="00AF060A"/>
    <w:rsid w:val="00AF56C5"/>
    <w:rsid w:val="00AF76D2"/>
    <w:rsid w:val="00B05B24"/>
    <w:rsid w:val="00B21ECA"/>
    <w:rsid w:val="00B373D6"/>
    <w:rsid w:val="00B44851"/>
    <w:rsid w:val="00B4586E"/>
    <w:rsid w:val="00B4791D"/>
    <w:rsid w:val="00B705AA"/>
    <w:rsid w:val="00B70AA0"/>
    <w:rsid w:val="00B7277F"/>
    <w:rsid w:val="00BB0B87"/>
    <w:rsid w:val="00BB5DD4"/>
    <w:rsid w:val="00BC04E1"/>
    <w:rsid w:val="00BD0E43"/>
    <w:rsid w:val="00BF5A8D"/>
    <w:rsid w:val="00C251E7"/>
    <w:rsid w:val="00C268E7"/>
    <w:rsid w:val="00C30B04"/>
    <w:rsid w:val="00C34501"/>
    <w:rsid w:val="00C43282"/>
    <w:rsid w:val="00C44A16"/>
    <w:rsid w:val="00C51694"/>
    <w:rsid w:val="00C556EC"/>
    <w:rsid w:val="00C72D35"/>
    <w:rsid w:val="00C7577F"/>
    <w:rsid w:val="00CC410F"/>
    <w:rsid w:val="00CD0E06"/>
    <w:rsid w:val="00CF0D7A"/>
    <w:rsid w:val="00D12B34"/>
    <w:rsid w:val="00D15A04"/>
    <w:rsid w:val="00D1773A"/>
    <w:rsid w:val="00D21279"/>
    <w:rsid w:val="00D21873"/>
    <w:rsid w:val="00D2512A"/>
    <w:rsid w:val="00D54BA1"/>
    <w:rsid w:val="00D735B7"/>
    <w:rsid w:val="00D9129B"/>
    <w:rsid w:val="00DC06B4"/>
    <w:rsid w:val="00DC0990"/>
    <w:rsid w:val="00DC0E18"/>
    <w:rsid w:val="00DC5343"/>
    <w:rsid w:val="00DD1953"/>
    <w:rsid w:val="00DD4E07"/>
    <w:rsid w:val="00DE3134"/>
    <w:rsid w:val="00DF0670"/>
    <w:rsid w:val="00E004B9"/>
    <w:rsid w:val="00E054B9"/>
    <w:rsid w:val="00E07A4A"/>
    <w:rsid w:val="00E17255"/>
    <w:rsid w:val="00E462D1"/>
    <w:rsid w:val="00E77EB1"/>
    <w:rsid w:val="00E8220D"/>
    <w:rsid w:val="00E84407"/>
    <w:rsid w:val="00EA2EA1"/>
    <w:rsid w:val="00EA2EDC"/>
    <w:rsid w:val="00EB3B7B"/>
    <w:rsid w:val="00EC0162"/>
    <w:rsid w:val="00EC4FFD"/>
    <w:rsid w:val="00EC6178"/>
    <w:rsid w:val="00ED2A40"/>
    <w:rsid w:val="00ED74F7"/>
    <w:rsid w:val="00EE50BE"/>
    <w:rsid w:val="00EE7AAE"/>
    <w:rsid w:val="00F02034"/>
    <w:rsid w:val="00F06262"/>
    <w:rsid w:val="00F10B24"/>
    <w:rsid w:val="00F14941"/>
    <w:rsid w:val="00F2365C"/>
    <w:rsid w:val="00F65AE8"/>
    <w:rsid w:val="00FA6888"/>
    <w:rsid w:val="00FB1EAC"/>
    <w:rsid w:val="00FD4917"/>
    <w:rsid w:val="00FF3880"/>
    <w:rsid w:val="00FF4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873E"/>
  <w15:chartTrackingRefBased/>
  <w15:docId w15:val="{1206B0DD-7557-4134-AB21-FF8915FE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D74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23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237B"/>
  </w:style>
  <w:style w:type="paragraph" w:styleId="Stopka">
    <w:name w:val="footer"/>
    <w:basedOn w:val="Normalny"/>
    <w:link w:val="StopkaZnak"/>
    <w:uiPriority w:val="99"/>
    <w:unhideWhenUsed/>
    <w:rsid w:val="006E23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237B"/>
  </w:style>
  <w:style w:type="paragraph" w:styleId="Akapitzlist">
    <w:name w:val="List Paragraph"/>
    <w:aliases w:val="lp1,Preambuła,Tytuły,opis dzialania,K-P_odwolanie,Akapit z listą mon"/>
    <w:basedOn w:val="Normalny"/>
    <w:link w:val="AkapitzlistZnak"/>
    <w:uiPriority w:val="34"/>
    <w:qFormat/>
    <w:rsid w:val="00944D22"/>
    <w:pPr>
      <w:ind w:left="720"/>
      <w:contextualSpacing/>
    </w:pPr>
  </w:style>
  <w:style w:type="character" w:styleId="Hipercze">
    <w:name w:val="Hyperlink"/>
    <w:basedOn w:val="Domylnaczcionkaakapitu"/>
    <w:uiPriority w:val="99"/>
    <w:unhideWhenUsed/>
    <w:rsid w:val="00510D38"/>
    <w:rPr>
      <w:color w:val="0563C1" w:themeColor="hyperlink"/>
      <w:u w:val="single"/>
    </w:rPr>
  </w:style>
  <w:style w:type="character" w:customStyle="1" w:styleId="Nierozpoznanawzmianka1">
    <w:name w:val="Nierozpoznana wzmianka1"/>
    <w:basedOn w:val="Domylnaczcionkaakapitu"/>
    <w:uiPriority w:val="99"/>
    <w:semiHidden/>
    <w:unhideWhenUsed/>
    <w:rsid w:val="00510D38"/>
    <w:rPr>
      <w:color w:val="605E5C"/>
      <w:shd w:val="clear" w:color="auto" w:fill="E1DFDD"/>
    </w:rPr>
  </w:style>
  <w:style w:type="paragraph" w:styleId="Tekstprzypisudolnego">
    <w:name w:val="footnote text"/>
    <w:basedOn w:val="Normalny"/>
    <w:link w:val="TekstprzypisudolnegoZnak"/>
    <w:uiPriority w:val="99"/>
    <w:semiHidden/>
    <w:unhideWhenUsed/>
    <w:rsid w:val="008142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14206"/>
    <w:rPr>
      <w:sz w:val="20"/>
      <w:szCs w:val="20"/>
    </w:rPr>
  </w:style>
  <w:style w:type="character" w:styleId="Odwoanieprzypisudolnego">
    <w:name w:val="footnote reference"/>
    <w:basedOn w:val="Domylnaczcionkaakapitu"/>
    <w:uiPriority w:val="99"/>
    <w:semiHidden/>
    <w:unhideWhenUsed/>
    <w:rsid w:val="00814206"/>
    <w:rPr>
      <w:vertAlign w:val="superscript"/>
    </w:rPr>
  </w:style>
  <w:style w:type="character" w:customStyle="1" w:styleId="Nierozpoznanawzmianka2">
    <w:name w:val="Nierozpoznana wzmianka2"/>
    <w:basedOn w:val="Domylnaczcionkaakapitu"/>
    <w:uiPriority w:val="99"/>
    <w:semiHidden/>
    <w:unhideWhenUsed/>
    <w:rsid w:val="007257EE"/>
    <w:rPr>
      <w:color w:val="605E5C"/>
      <w:shd w:val="clear" w:color="auto" w:fill="E1DFDD"/>
    </w:rPr>
  </w:style>
  <w:style w:type="character" w:styleId="UyteHipercze">
    <w:name w:val="FollowedHyperlink"/>
    <w:basedOn w:val="Domylnaczcionkaakapitu"/>
    <w:uiPriority w:val="99"/>
    <w:semiHidden/>
    <w:unhideWhenUsed/>
    <w:rsid w:val="007257EE"/>
    <w:rPr>
      <w:color w:val="954F72" w:themeColor="followedHyperlink"/>
      <w:u w:val="single"/>
    </w:rPr>
  </w:style>
  <w:style w:type="character" w:styleId="Odwoaniedokomentarza">
    <w:name w:val="annotation reference"/>
    <w:basedOn w:val="Domylnaczcionkaakapitu"/>
    <w:uiPriority w:val="99"/>
    <w:semiHidden/>
    <w:unhideWhenUsed/>
    <w:rsid w:val="007A70D6"/>
    <w:rPr>
      <w:sz w:val="16"/>
      <w:szCs w:val="16"/>
    </w:rPr>
  </w:style>
  <w:style w:type="paragraph" w:styleId="Tekstkomentarza">
    <w:name w:val="annotation text"/>
    <w:basedOn w:val="Normalny"/>
    <w:link w:val="TekstkomentarzaZnak"/>
    <w:uiPriority w:val="99"/>
    <w:unhideWhenUsed/>
    <w:rsid w:val="007A70D6"/>
    <w:pPr>
      <w:spacing w:line="240" w:lineRule="auto"/>
    </w:pPr>
    <w:rPr>
      <w:sz w:val="20"/>
      <w:szCs w:val="20"/>
    </w:rPr>
  </w:style>
  <w:style w:type="character" w:customStyle="1" w:styleId="TekstkomentarzaZnak">
    <w:name w:val="Tekst komentarza Znak"/>
    <w:basedOn w:val="Domylnaczcionkaakapitu"/>
    <w:link w:val="Tekstkomentarza"/>
    <w:uiPriority w:val="99"/>
    <w:rsid w:val="007A70D6"/>
    <w:rPr>
      <w:sz w:val="20"/>
      <w:szCs w:val="20"/>
    </w:rPr>
  </w:style>
  <w:style w:type="paragraph" w:styleId="Tematkomentarza">
    <w:name w:val="annotation subject"/>
    <w:basedOn w:val="Tekstkomentarza"/>
    <w:next w:val="Tekstkomentarza"/>
    <w:link w:val="TematkomentarzaZnak"/>
    <w:uiPriority w:val="99"/>
    <w:semiHidden/>
    <w:unhideWhenUsed/>
    <w:rsid w:val="007A70D6"/>
    <w:rPr>
      <w:b/>
      <w:bCs/>
    </w:rPr>
  </w:style>
  <w:style w:type="character" w:customStyle="1" w:styleId="TematkomentarzaZnak">
    <w:name w:val="Temat komentarza Znak"/>
    <w:basedOn w:val="TekstkomentarzaZnak"/>
    <w:link w:val="Tematkomentarza"/>
    <w:uiPriority w:val="99"/>
    <w:semiHidden/>
    <w:rsid w:val="007A70D6"/>
    <w:rPr>
      <w:b/>
      <w:bCs/>
      <w:sz w:val="20"/>
      <w:szCs w:val="20"/>
    </w:rPr>
  </w:style>
  <w:style w:type="paragraph" w:styleId="Poprawka">
    <w:name w:val="Revision"/>
    <w:hidden/>
    <w:uiPriority w:val="99"/>
    <w:semiHidden/>
    <w:rsid w:val="007A70D6"/>
    <w:pPr>
      <w:spacing w:after="0" w:line="240" w:lineRule="auto"/>
    </w:pPr>
  </w:style>
  <w:style w:type="character" w:customStyle="1" w:styleId="AkapitzlistZnak">
    <w:name w:val="Akapit z listą Znak"/>
    <w:aliases w:val="lp1 Znak,Preambuła Znak,Tytuły Znak,opis dzialania Znak,K-P_odwolanie Znak,Akapit z listą mon Znak"/>
    <w:link w:val="Akapitzlist"/>
    <w:uiPriority w:val="34"/>
    <w:locked/>
    <w:rsid w:val="00FA6888"/>
  </w:style>
  <w:style w:type="paragraph" w:styleId="Tekstdymka">
    <w:name w:val="Balloon Text"/>
    <w:basedOn w:val="Normalny"/>
    <w:link w:val="TekstdymkaZnak"/>
    <w:uiPriority w:val="99"/>
    <w:semiHidden/>
    <w:unhideWhenUsed/>
    <w:rsid w:val="00D912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129B"/>
    <w:rPr>
      <w:rFonts w:ascii="Segoe UI" w:hAnsi="Segoe UI" w:cs="Segoe UI"/>
      <w:sz w:val="18"/>
      <w:szCs w:val="18"/>
    </w:rPr>
  </w:style>
  <w:style w:type="character" w:customStyle="1" w:styleId="Nagwek1Znak">
    <w:name w:val="Nagłówek 1 Znak"/>
    <w:basedOn w:val="Domylnaczcionkaakapitu"/>
    <w:link w:val="Nagwek1"/>
    <w:uiPriority w:val="9"/>
    <w:rsid w:val="00ED74F7"/>
    <w:rPr>
      <w:rFonts w:asciiTheme="majorHAnsi" w:eastAsiaTheme="majorEastAsia" w:hAnsiTheme="majorHAnsi" w:cstheme="majorBidi"/>
      <w:color w:val="2F5496" w:themeColor="accent1" w:themeShade="BF"/>
      <w:sz w:val="32"/>
      <w:szCs w:val="32"/>
    </w:rPr>
  </w:style>
  <w:style w:type="character" w:styleId="Nierozpoznanawzmianka">
    <w:name w:val="Unresolved Mention"/>
    <w:basedOn w:val="Domylnaczcionkaakapitu"/>
    <w:uiPriority w:val="99"/>
    <w:semiHidden/>
    <w:unhideWhenUsed/>
    <w:rsid w:val="00623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48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os/Ochrona-ptakow-podczas-prac-termomodernizacyjny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funduszmodernizacyjny/renowacja-z-gwarancja-oszczednosci-epc-energy-performance-contract-plus-nabor-i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klimat/wytyczne-do-umow-o-poprawe-efektywnosci-energetycznej-epc" TargetMode="External"/><Relationship Id="rId4" Type="http://schemas.openxmlformats.org/officeDocument/2006/relationships/settings" Target="settings.xml"/><Relationship Id="rId9" Type="http://schemas.openxmlformats.org/officeDocument/2006/relationships/hyperlink" Target="https://www.gov.pl/web/planodbudowy/dnsh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DF0E7-44E3-45CD-A73D-52F29873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30</Pages>
  <Words>8696</Words>
  <Characters>52179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Ramowy katalog kosztów kwalifikowanych</vt:lpstr>
    </vt:vector>
  </TitlesOfParts>
  <Company/>
  <LinksUpToDate>false</LinksUpToDate>
  <CharactersWithSpaces>60754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Ramowy katalog kosztów kwalifikowanych</dc:title>
  <dc:subject/>
  <dc:creator>Obłękowski Piotr</dc:creator>
  <cp:keywords/>
  <dc:description/>
  <cp:lastModifiedBy>Sulej-Kapusta Agnieszka</cp:lastModifiedBy>
  <cp:revision>6</cp:revision>
  <dcterms:created xsi:type="dcterms:W3CDTF">2025-06-23T09:32:00Z</dcterms:created>
  <dcterms:modified xsi:type="dcterms:W3CDTF">2025-06-23T10:42:00Z</dcterms:modified>
</cp:coreProperties>
</file>